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747E" w14:textId="77777777" w:rsidR="00350C32" w:rsidRPr="000A04CB" w:rsidRDefault="00350C32" w:rsidP="00A263FE">
      <w:pPr>
        <w:pStyle w:val="Cabealho"/>
        <w:numPr>
          <w:ilvl w:val="0"/>
          <w:numId w:val="4"/>
        </w:numPr>
        <w:tabs>
          <w:tab w:val="clear" w:pos="4419"/>
          <w:tab w:val="clear" w:pos="8838"/>
          <w:tab w:val="num" w:pos="-993"/>
        </w:tabs>
        <w:ind w:left="-993" w:right="226" w:firstLine="0"/>
        <w:rPr>
          <w:rFonts w:ascii="Arial" w:eastAsia="Times New Roman" w:hAnsi="Arial" w:cs="Arial"/>
          <w:b/>
          <w:bCs/>
          <w:color w:val="355993"/>
        </w:rPr>
      </w:pPr>
      <w:bookmarkStart w:id="0" w:name="_GoBack"/>
      <w:bookmarkEnd w:id="0"/>
      <w:r w:rsidRPr="000A04CB">
        <w:rPr>
          <w:rFonts w:ascii="Arial" w:eastAsia="Times New Roman" w:hAnsi="Arial" w:cs="Arial"/>
          <w:b/>
          <w:bCs/>
          <w:color w:val="355993"/>
        </w:rPr>
        <w:t>DADOS OPERACIONAIS</w:t>
      </w:r>
    </w:p>
    <w:p w14:paraId="0588DF2B" w14:textId="77777777" w:rsidR="00350C32" w:rsidRPr="00A263FE" w:rsidRDefault="00350C32" w:rsidP="00A263FE">
      <w:pPr>
        <w:tabs>
          <w:tab w:val="num" w:pos="-993"/>
        </w:tabs>
        <w:ind w:left="-993" w:right="226"/>
        <w:rPr>
          <w:rFonts w:ascii="Arial" w:eastAsia="Calibri" w:hAnsi="Arial" w:cs="Arial"/>
          <w:b/>
          <w:color w:val="355993"/>
          <w:lang w:eastAsia="en-US"/>
        </w:rPr>
      </w:pPr>
    </w:p>
    <w:p w14:paraId="6EE61C7B" w14:textId="77777777" w:rsidR="00350C32" w:rsidRPr="000A04CB" w:rsidRDefault="00350C32" w:rsidP="00A263FE">
      <w:pPr>
        <w:pStyle w:val="Cabealho"/>
        <w:tabs>
          <w:tab w:val="clear" w:pos="4419"/>
          <w:tab w:val="clear" w:pos="8838"/>
          <w:tab w:val="num" w:pos="-993"/>
        </w:tabs>
        <w:ind w:left="-993" w:right="226"/>
        <w:rPr>
          <w:rFonts w:ascii="Arial" w:eastAsia="Times New Roman" w:hAnsi="Arial" w:cs="Arial"/>
          <w:b/>
          <w:bCs/>
          <w:color w:val="355993"/>
        </w:rPr>
      </w:pPr>
      <w:r w:rsidRPr="000A04CB">
        <w:rPr>
          <w:rFonts w:ascii="Arial" w:eastAsia="Times New Roman" w:hAnsi="Arial" w:cs="Arial"/>
          <w:b/>
          <w:bCs/>
          <w:color w:val="355993"/>
        </w:rPr>
        <w:t>1.1   MERCADO</w:t>
      </w:r>
    </w:p>
    <w:p w14:paraId="0CDF8CCE" w14:textId="77777777" w:rsidR="00350C32" w:rsidRPr="00A263FE" w:rsidRDefault="00350C32" w:rsidP="00A263FE">
      <w:pPr>
        <w:tabs>
          <w:tab w:val="num" w:pos="-993"/>
        </w:tabs>
        <w:ind w:left="-993" w:right="226"/>
        <w:contextualSpacing/>
        <w:rPr>
          <w:rFonts w:ascii="Arial" w:eastAsia="Calibri" w:hAnsi="Arial" w:cs="Arial"/>
          <w:b/>
          <w:color w:val="0033CC"/>
          <w:lang w:eastAsia="en-US"/>
        </w:rPr>
      </w:pPr>
    </w:p>
    <w:p w14:paraId="77296086" w14:textId="2C218DB2" w:rsidR="00350C32" w:rsidRPr="000A04CB" w:rsidRDefault="00350C32" w:rsidP="00A263FE">
      <w:pPr>
        <w:pStyle w:val="Cabealho"/>
        <w:tabs>
          <w:tab w:val="clear" w:pos="4419"/>
          <w:tab w:val="clear" w:pos="8838"/>
          <w:tab w:val="num" w:pos="-993"/>
        </w:tabs>
        <w:ind w:left="-993" w:right="226"/>
        <w:jc w:val="both"/>
        <w:rPr>
          <w:rFonts w:ascii="Arial" w:eastAsia="Times New Roman" w:hAnsi="Arial" w:cs="Arial"/>
        </w:rPr>
      </w:pPr>
      <w:r w:rsidRPr="000A04CB">
        <w:rPr>
          <w:rFonts w:ascii="Arial" w:eastAsia="Times New Roman" w:hAnsi="Arial" w:cs="Arial"/>
        </w:rPr>
        <w:t>A seguir apresentamos os contratos em % da Receita Total da Companhia, em 3</w:t>
      </w:r>
      <w:r w:rsidR="00301BDD">
        <w:rPr>
          <w:rFonts w:ascii="Arial" w:eastAsia="Times New Roman" w:hAnsi="Arial" w:cs="Arial"/>
        </w:rPr>
        <w:t>1</w:t>
      </w:r>
      <w:r w:rsidRPr="000A04CB">
        <w:rPr>
          <w:rFonts w:ascii="Arial" w:eastAsia="Times New Roman" w:hAnsi="Arial" w:cs="Arial"/>
        </w:rPr>
        <w:t xml:space="preserve"> de </w:t>
      </w:r>
      <w:r w:rsidR="00301BDD">
        <w:rPr>
          <w:rFonts w:ascii="Arial" w:eastAsia="Times New Roman" w:hAnsi="Arial" w:cs="Arial"/>
        </w:rPr>
        <w:t>dezembro</w:t>
      </w:r>
      <w:r w:rsidR="00F545EA">
        <w:rPr>
          <w:rFonts w:ascii="Arial" w:eastAsia="Times New Roman" w:hAnsi="Arial" w:cs="Arial"/>
        </w:rPr>
        <w:t xml:space="preserve"> </w:t>
      </w:r>
      <w:r w:rsidRPr="000A04CB">
        <w:rPr>
          <w:rFonts w:ascii="Arial" w:eastAsia="Times New Roman" w:hAnsi="Arial" w:cs="Arial"/>
        </w:rPr>
        <w:t>de 202</w:t>
      </w:r>
      <w:r w:rsidR="0002468D">
        <w:rPr>
          <w:rFonts w:ascii="Arial" w:eastAsia="Times New Roman" w:hAnsi="Arial" w:cs="Arial"/>
        </w:rPr>
        <w:t>2</w:t>
      </w:r>
      <w:r w:rsidRPr="000A04CB">
        <w:rPr>
          <w:rFonts w:ascii="Arial" w:eastAsia="Times New Roman" w:hAnsi="Arial" w:cs="Arial"/>
        </w:rPr>
        <w:t>:</w:t>
      </w:r>
    </w:p>
    <w:p w14:paraId="0968DC89" w14:textId="22989C55" w:rsidR="00350C32" w:rsidRPr="00A263FE" w:rsidRDefault="00350C32" w:rsidP="00A263FE">
      <w:pPr>
        <w:tabs>
          <w:tab w:val="num" w:pos="-993"/>
        </w:tabs>
        <w:ind w:left="-993" w:right="226"/>
        <w:contextualSpacing/>
        <w:jc w:val="both"/>
        <w:rPr>
          <w:rFonts w:ascii="Arial" w:eastAsia="Calibri" w:hAnsi="Arial" w:cs="Arial"/>
          <w:lang w:eastAsia="en-US"/>
        </w:rPr>
      </w:pPr>
    </w:p>
    <w:bookmarkStart w:id="1" w:name="_MON_1603602210"/>
    <w:bookmarkEnd w:id="1"/>
    <w:p w14:paraId="16E11DF5" w14:textId="7B1B2291" w:rsidR="00350C32" w:rsidRDefault="00CE6BC6" w:rsidP="00A263FE">
      <w:pPr>
        <w:tabs>
          <w:tab w:val="num" w:pos="-993"/>
        </w:tabs>
        <w:ind w:left="-993" w:right="226"/>
        <w:contextualSpacing/>
        <w:jc w:val="both"/>
        <w:rPr>
          <w:rFonts w:ascii="Arial" w:eastAsia="Calibri" w:hAnsi="Arial" w:cs="Arial"/>
          <w:sz w:val="22"/>
          <w:szCs w:val="22"/>
          <w:lang w:eastAsia="en-US"/>
        </w:rPr>
      </w:pPr>
      <w:r w:rsidRPr="00EC7340">
        <w:rPr>
          <w:rFonts w:ascii="Arial" w:eastAsia="Calibri" w:hAnsi="Arial" w:cs="Arial"/>
          <w:sz w:val="22"/>
          <w:szCs w:val="22"/>
          <w:lang w:eastAsia="en-US"/>
        </w:rPr>
        <w:object w:dxaOrig="10365" w:dyaOrig="4431" w14:anchorId="22291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pt;height:224.85pt" o:ole="">
            <v:imagedata r:id="rId10" o:title=""/>
          </v:shape>
          <o:OLEObject Type="Embed" ProgID="Excel.Sheet.12" ShapeID="_x0000_i1025" DrawAspect="Content" ObjectID="_1737529287" r:id="rId11"/>
        </w:object>
      </w:r>
    </w:p>
    <w:p w14:paraId="76DABBC5" w14:textId="77777777" w:rsidR="003F3C2D" w:rsidRPr="00A263FE" w:rsidRDefault="003F3C2D" w:rsidP="00A263FE">
      <w:pPr>
        <w:tabs>
          <w:tab w:val="num" w:pos="-993"/>
        </w:tabs>
        <w:ind w:left="-993" w:right="226"/>
        <w:contextualSpacing/>
        <w:jc w:val="both"/>
        <w:rPr>
          <w:rFonts w:ascii="Arial" w:eastAsia="Calibri" w:hAnsi="Arial" w:cs="Arial"/>
          <w:lang w:eastAsia="en-US"/>
        </w:rPr>
      </w:pPr>
    </w:p>
    <w:bookmarkStart w:id="2" w:name="_MON_1680416726"/>
    <w:bookmarkEnd w:id="2"/>
    <w:p w14:paraId="6073A709" w14:textId="62B7E792" w:rsidR="009349AA" w:rsidRPr="00EC7340" w:rsidRDefault="0032793C" w:rsidP="00A263FE">
      <w:pPr>
        <w:tabs>
          <w:tab w:val="num" w:pos="-993"/>
          <w:tab w:val="left" w:pos="9639"/>
        </w:tabs>
        <w:ind w:left="-993" w:right="226"/>
        <w:contextualSpacing/>
        <w:jc w:val="both"/>
        <w:rPr>
          <w:rFonts w:ascii="Arial" w:eastAsia="Calibri" w:hAnsi="Arial" w:cs="Arial"/>
          <w:sz w:val="18"/>
          <w:szCs w:val="18"/>
          <w:lang w:eastAsia="en-US"/>
        </w:rPr>
      </w:pPr>
      <w:r w:rsidRPr="00EC7340">
        <w:rPr>
          <w:rFonts w:ascii="Arial" w:eastAsia="Calibri" w:hAnsi="Arial" w:cs="Arial"/>
          <w:sz w:val="22"/>
          <w:szCs w:val="22"/>
          <w:lang w:eastAsia="en-US"/>
        </w:rPr>
        <w:object w:dxaOrig="10228" w:dyaOrig="2126" w14:anchorId="6BE96392">
          <v:shape id="_x0000_i1026" type="#_x0000_t75" style="width:531.85pt;height:115.45pt" o:ole="">
            <v:imagedata r:id="rId12" o:title=""/>
          </v:shape>
          <o:OLEObject Type="Embed" ProgID="Excel.Sheet.12" ShapeID="_x0000_i1026" DrawAspect="Content" ObjectID="_1737529288" r:id="rId13"/>
        </w:object>
      </w:r>
    </w:p>
    <w:p w14:paraId="1F7B95E6" w14:textId="77777777" w:rsidR="00350C32" w:rsidRPr="00774E63" w:rsidRDefault="00350C32" w:rsidP="00A263FE">
      <w:pPr>
        <w:tabs>
          <w:tab w:val="num" w:pos="-993"/>
        </w:tabs>
        <w:ind w:left="-993" w:right="226"/>
        <w:contextualSpacing/>
        <w:jc w:val="both"/>
        <w:rPr>
          <w:rFonts w:ascii="Arial" w:eastAsia="Calibri" w:hAnsi="Arial" w:cs="Arial"/>
          <w:sz w:val="12"/>
          <w:szCs w:val="12"/>
          <w:lang w:eastAsia="en-US"/>
        </w:rPr>
      </w:pPr>
      <w:r w:rsidRPr="00EC7340">
        <w:rPr>
          <w:rFonts w:ascii="Arial" w:eastAsia="Calibri" w:hAnsi="Arial" w:cs="Arial"/>
          <w:sz w:val="22"/>
          <w:szCs w:val="22"/>
          <w:lang w:eastAsia="en-US"/>
        </w:rPr>
        <w:t xml:space="preserve"> </w:t>
      </w:r>
    </w:p>
    <w:p w14:paraId="4DFBFA8B" w14:textId="75BCDDAA" w:rsidR="001D4A10" w:rsidRDefault="0005674C" w:rsidP="00A263FE">
      <w:pPr>
        <w:tabs>
          <w:tab w:val="num" w:pos="-993"/>
        </w:tabs>
        <w:ind w:left="-993" w:right="226"/>
        <w:contextualSpacing/>
        <w:jc w:val="both"/>
        <w:rPr>
          <w:rFonts w:ascii="Arial" w:eastAsia="Calibri" w:hAnsi="Arial" w:cs="Arial"/>
          <w:sz w:val="18"/>
          <w:szCs w:val="18"/>
          <w:lang w:eastAsia="en-US"/>
        </w:rPr>
      </w:pPr>
      <w:r>
        <w:rPr>
          <w:rFonts w:ascii="Arial" w:eastAsia="Calibri" w:hAnsi="Arial" w:cs="Arial"/>
          <w:sz w:val="18"/>
          <w:szCs w:val="18"/>
          <w:lang w:eastAsia="en-US"/>
        </w:rPr>
        <w:t>¹</w:t>
      </w:r>
      <w:r w:rsidR="001D4A10"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001D4A10" w:rsidRPr="00EC7340">
        <w:rPr>
          <w:rFonts w:ascii="Arial" w:eastAsia="Calibri" w:hAnsi="Arial" w:cs="Arial"/>
          <w:sz w:val="18"/>
          <w:szCs w:val="18"/>
          <w:lang w:eastAsia="en-US"/>
        </w:rPr>
        <w:t>revisad</w:t>
      </w:r>
      <w:r>
        <w:rPr>
          <w:rFonts w:ascii="Arial" w:eastAsia="Calibri" w:hAnsi="Arial" w:cs="Arial"/>
          <w:sz w:val="18"/>
          <w:szCs w:val="18"/>
          <w:lang w:eastAsia="en-US"/>
        </w:rPr>
        <w:t>a pelos auditores independentes;</w:t>
      </w:r>
    </w:p>
    <w:p w14:paraId="06DDBE23" w14:textId="193E2CFA" w:rsidR="0005674C" w:rsidRDefault="0002468D" w:rsidP="00A263FE">
      <w:pPr>
        <w:tabs>
          <w:tab w:val="num" w:pos="-993"/>
        </w:tabs>
        <w:ind w:left="-993" w:right="226"/>
        <w:contextualSpacing/>
        <w:jc w:val="both"/>
        <w:rPr>
          <w:rFonts w:ascii="Arial" w:eastAsia="Calibri" w:hAnsi="Arial" w:cs="Arial"/>
          <w:sz w:val="18"/>
          <w:szCs w:val="18"/>
          <w:lang w:eastAsia="en-US"/>
        </w:rPr>
      </w:pPr>
      <w:r>
        <w:rPr>
          <w:rFonts w:ascii="Arial" w:eastAsia="Calibri" w:hAnsi="Arial" w:cs="Arial"/>
          <w:sz w:val="18"/>
          <w:szCs w:val="18"/>
          <w:lang w:eastAsia="en-US"/>
        </w:rPr>
        <w:t>² Valor Contábil;</w:t>
      </w:r>
    </w:p>
    <w:p w14:paraId="47BF4082" w14:textId="7B038F4A" w:rsidR="0002468D" w:rsidRDefault="0002468D" w:rsidP="0002468D">
      <w:pPr>
        <w:pStyle w:val="Cabealho"/>
        <w:tabs>
          <w:tab w:val="clear" w:pos="4419"/>
          <w:tab w:val="clear" w:pos="8838"/>
          <w:tab w:val="num" w:pos="-993"/>
        </w:tabs>
        <w:ind w:left="-993" w:right="226"/>
        <w:jc w:val="both"/>
        <w:rPr>
          <w:rFonts w:ascii="Arial" w:eastAsia="Calibri" w:hAnsi="Arial" w:cs="Arial"/>
          <w:sz w:val="18"/>
          <w:szCs w:val="18"/>
          <w:lang w:eastAsia="en-US"/>
        </w:rPr>
      </w:pPr>
      <w:r>
        <w:rPr>
          <w:rFonts w:ascii="Arial" w:eastAsia="Calibri" w:hAnsi="Arial" w:cs="Arial"/>
          <w:sz w:val="18"/>
          <w:szCs w:val="18"/>
          <w:lang w:eastAsia="en-US"/>
        </w:rPr>
        <w:t>³ Inclui o município de Maringá, cujo termo aditivo que prorrogou a concessão até 2040, está em discussão judicial.</w:t>
      </w:r>
    </w:p>
    <w:p w14:paraId="43DB453C" w14:textId="77777777" w:rsidR="001D4A10" w:rsidRPr="00A263FE" w:rsidRDefault="001D4A10" w:rsidP="00A263FE">
      <w:pPr>
        <w:pStyle w:val="Cabealho"/>
        <w:tabs>
          <w:tab w:val="clear" w:pos="4419"/>
          <w:tab w:val="clear" w:pos="8838"/>
          <w:tab w:val="num" w:pos="-993"/>
        </w:tabs>
        <w:ind w:left="-993" w:right="226"/>
        <w:jc w:val="both"/>
        <w:rPr>
          <w:rFonts w:ascii="Arial" w:eastAsia="Times New Roman" w:hAnsi="Arial" w:cs="Arial"/>
        </w:rPr>
      </w:pPr>
    </w:p>
    <w:p w14:paraId="7E70154E" w14:textId="3FD2DDDE" w:rsidR="0002468D" w:rsidRPr="000A04CB" w:rsidRDefault="0002468D" w:rsidP="0002468D">
      <w:pPr>
        <w:pStyle w:val="Cabealho"/>
        <w:tabs>
          <w:tab w:val="clear" w:pos="4419"/>
          <w:tab w:val="clear" w:pos="8838"/>
          <w:tab w:val="num" w:pos="-993"/>
        </w:tabs>
        <w:ind w:left="-993" w:right="226"/>
        <w:jc w:val="both"/>
        <w:rPr>
          <w:rFonts w:ascii="Arial" w:eastAsia="Times New Roman" w:hAnsi="Arial" w:cs="Arial"/>
        </w:rPr>
      </w:pPr>
      <w:r w:rsidRPr="00286323">
        <w:rPr>
          <w:rFonts w:ascii="Arial" w:eastAsia="Times New Roman" w:hAnsi="Arial" w:cs="Arial"/>
        </w:rPr>
        <w:t xml:space="preserve">O índice de atendimento com água tratada é de </w:t>
      </w:r>
      <w:r w:rsidRPr="000E6324">
        <w:rPr>
          <w:rFonts w:ascii="Arial" w:eastAsia="Times New Roman" w:hAnsi="Arial" w:cs="Arial"/>
        </w:rPr>
        <w:t>100%</w:t>
      </w:r>
      <w:r w:rsidRPr="00286323">
        <w:rPr>
          <w:rFonts w:ascii="Arial" w:eastAsia="Times New Roman" w:hAnsi="Arial" w:cs="Arial"/>
        </w:rPr>
        <w:t xml:space="preserve"> e </w:t>
      </w:r>
      <w:r>
        <w:rPr>
          <w:rFonts w:ascii="Arial" w:eastAsia="Times New Roman" w:hAnsi="Arial" w:cs="Arial"/>
        </w:rPr>
        <w:t xml:space="preserve">o índice de atendimento com rede coletora de esgoto – IARCE Urbano é </w:t>
      </w:r>
      <w:r w:rsidRPr="003332B4">
        <w:rPr>
          <w:rFonts w:ascii="Arial" w:eastAsia="Times New Roman" w:hAnsi="Arial" w:cs="Arial"/>
        </w:rPr>
        <w:t xml:space="preserve">de </w:t>
      </w:r>
      <w:r w:rsidRPr="00B716F6">
        <w:rPr>
          <w:rFonts w:ascii="Arial" w:eastAsia="Times New Roman" w:hAnsi="Arial" w:cs="Arial"/>
        </w:rPr>
        <w:t>78,</w:t>
      </w:r>
      <w:r w:rsidR="00B716F6" w:rsidRPr="00B716F6">
        <w:rPr>
          <w:rFonts w:ascii="Arial" w:eastAsia="Times New Roman" w:hAnsi="Arial" w:cs="Arial"/>
        </w:rPr>
        <w:t>9</w:t>
      </w:r>
      <w:r w:rsidRPr="00B716F6">
        <w:rPr>
          <w:rFonts w:ascii="Arial" w:eastAsia="Times New Roman" w:hAnsi="Arial" w:cs="Arial"/>
        </w:rPr>
        <w:t>%, sendo tratado 100% do esgoto coletado, conforme Sistema</w:t>
      </w:r>
      <w:r w:rsidRPr="0060187C">
        <w:rPr>
          <w:rFonts w:ascii="Arial" w:eastAsia="Times New Roman" w:hAnsi="Arial" w:cs="Arial"/>
        </w:rPr>
        <w:t xml:space="preserve"> de Informações da Companhia.</w:t>
      </w:r>
    </w:p>
    <w:p w14:paraId="1E676061" w14:textId="77777777" w:rsidR="00350C32" w:rsidRPr="00A263FE" w:rsidRDefault="00350C32" w:rsidP="00A263FE">
      <w:pPr>
        <w:tabs>
          <w:tab w:val="num" w:pos="-993"/>
        </w:tabs>
        <w:ind w:left="-993" w:right="226"/>
        <w:contextualSpacing/>
        <w:jc w:val="both"/>
        <w:rPr>
          <w:rFonts w:ascii="Arial" w:eastAsia="Calibri" w:hAnsi="Arial" w:cs="Arial"/>
          <w:color w:val="0033CC"/>
          <w:lang w:eastAsia="en-US"/>
        </w:rPr>
      </w:pPr>
    </w:p>
    <w:p w14:paraId="7EE925ED" w14:textId="68A296E8" w:rsidR="00350C32" w:rsidRPr="000A04CB" w:rsidRDefault="00350C32" w:rsidP="00A263FE">
      <w:pPr>
        <w:pStyle w:val="Cabealho"/>
        <w:tabs>
          <w:tab w:val="clear" w:pos="4419"/>
          <w:tab w:val="clear" w:pos="8838"/>
          <w:tab w:val="num" w:pos="-993"/>
        </w:tabs>
        <w:ind w:left="-993" w:right="226"/>
        <w:jc w:val="both"/>
        <w:rPr>
          <w:rFonts w:ascii="Arial" w:eastAsia="Times New Roman" w:hAnsi="Arial" w:cs="Arial"/>
        </w:rPr>
      </w:pPr>
      <w:r w:rsidRPr="00B716F6">
        <w:rPr>
          <w:rFonts w:ascii="Arial" w:eastAsia="Times New Roman" w:hAnsi="Arial" w:cs="Arial"/>
        </w:rPr>
        <w:t xml:space="preserve">O faturamento é oriundo principalmente das ligações de água do tipo residencial, que representam </w:t>
      </w:r>
      <w:r w:rsidR="00192993" w:rsidRPr="00B716F6">
        <w:rPr>
          <w:rFonts w:ascii="Arial" w:eastAsia="Times New Roman" w:hAnsi="Arial" w:cs="Arial"/>
        </w:rPr>
        <w:t>90</w:t>
      </w:r>
      <w:r w:rsidRPr="00B716F6">
        <w:rPr>
          <w:rFonts w:ascii="Arial" w:eastAsia="Times New Roman" w:hAnsi="Arial" w:cs="Arial"/>
        </w:rPr>
        <w:t>,</w:t>
      </w:r>
      <w:r w:rsidR="00B716F6" w:rsidRPr="00B716F6">
        <w:rPr>
          <w:rFonts w:ascii="Arial" w:eastAsia="Times New Roman" w:hAnsi="Arial" w:cs="Arial"/>
        </w:rPr>
        <w:t>8</w:t>
      </w:r>
      <w:r w:rsidRPr="00B716F6">
        <w:rPr>
          <w:rFonts w:ascii="Arial" w:eastAsia="Times New Roman" w:hAnsi="Arial" w:cs="Arial"/>
        </w:rPr>
        <w:t>%</w:t>
      </w:r>
      <w:r w:rsidRPr="00E74EDD">
        <w:rPr>
          <w:rFonts w:ascii="Arial" w:eastAsia="Times New Roman" w:hAnsi="Arial" w:cs="Arial"/>
        </w:rPr>
        <w:t xml:space="preserve"> do</w:t>
      </w:r>
      <w:r w:rsidRPr="0060187C">
        <w:rPr>
          <w:rFonts w:ascii="Arial" w:eastAsia="Times New Roman" w:hAnsi="Arial" w:cs="Arial"/>
        </w:rPr>
        <w:t xml:space="preserve"> total de ligações de água existentes em 3</w:t>
      </w:r>
      <w:r w:rsidR="00301BDD">
        <w:rPr>
          <w:rFonts w:ascii="Arial" w:eastAsia="Times New Roman" w:hAnsi="Arial" w:cs="Arial"/>
        </w:rPr>
        <w:t>1</w:t>
      </w:r>
      <w:r w:rsidRPr="0060187C">
        <w:rPr>
          <w:rFonts w:ascii="Arial" w:eastAsia="Times New Roman" w:hAnsi="Arial" w:cs="Arial"/>
        </w:rPr>
        <w:t xml:space="preserve"> de </w:t>
      </w:r>
      <w:r w:rsidR="00301BDD">
        <w:rPr>
          <w:rFonts w:ascii="Arial" w:eastAsia="Times New Roman" w:hAnsi="Arial" w:cs="Arial"/>
        </w:rPr>
        <w:t>dezembro</w:t>
      </w:r>
      <w:r w:rsidR="00F545EA">
        <w:rPr>
          <w:rFonts w:ascii="Arial" w:eastAsia="Times New Roman" w:hAnsi="Arial" w:cs="Arial"/>
        </w:rPr>
        <w:t xml:space="preserve"> </w:t>
      </w:r>
      <w:r w:rsidRPr="0060187C">
        <w:rPr>
          <w:rFonts w:ascii="Arial" w:eastAsia="Times New Roman" w:hAnsi="Arial" w:cs="Arial"/>
        </w:rPr>
        <w:t>de 202</w:t>
      </w:r>
      <w:r w:rsidR="0002468D">
        <w:rPr>
          <w:rFonts w:ascii="Arial" w:eastAsia="Times New Roman" w:hAnsi="Arial" w:cs="Arial"/>
        </w:rPr>
        <w:t>2</w:t>
      </w:r>
      <w:r w:rsidRPr="0060187C">
        <w:rPr>
          <w:rFonts w:ascii="Arial" w:eastAsia="Times New Roman" w:hAnsi="Arial" w:cs="Arial"/>
        </w:rPr>
        <w:t>.</w:t>
      </w:r>
    </w:p>
    <w:p w14:paraId="5160FA3F" w14:textId="76575550" w:rsidR="00350C32" w:rsidRDefault="00350C32" w:rsidP="00A263FE">
      <w:pPr>
        <w:pStyle w:val="Cabealho"/>
        <w:tabs>
          <w:tab w:val="clear" w:pos="4419"/>
          <w:tab w:val="clear" w:pos="8838"/>
          <w:tab w:val="num" w:pos="-993"/>
        </w:tabs>
        <w:ind w:left="-993" w:right="226"/>
        <w:jc w:val="both"/>
        <w:rPr>
          <w:rFonts w:ascii="Arial" w:eastAsia="Times New Roman" w:hAnsi="Arial" w:cs="Arial"/>
        </w:rPr>
      </w:pPr>
    </w:p>
    <w:p w14:paraId="0F70C757" w14:textId="749C1005" w:rsid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221F9198" w14:textId="30213EC6" w:rsid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06720182" w14:textId="5EB087F4" w:rsid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355C9088" w14:textId="3B2172AB" w:rsid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0D38EBFB" w14:textId="5BC1B833" w:rsid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31C46953" w14:textId="5709651A" w:rsid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1E786905" w14:textId="77777777" w:rsidR="00A263FE" w:rsidRPr="00A263FE" w:rsidRDefault="00A263FE" w:rsidP="00A263FE">
      <w:pPr>
        <w:pStyle w:val="Cabealho"/>
        <w:tabs>
          <w:tab w:val="clear" w:pos="4419"/>
          <w:tab w:val="clear" w:pos="8838"/>
          <w:tab w:val="num" w:pos="-993"/>
        </w:tabs>
        <w:ind w:left="-993" w:right="226"/>
        <w:jc w:val="both"/>
        <w:rPr>
          <w:rFonts w:ascii="Arial" w:eastAsia="Times New Roman" w:hAnsi="Arial" w:cs="Arial"/>
        </w:rPr>
      </w:pPr>
    </w:p>
    <w:p w14:paraId="106D1430" w14:textId="097A0753" w:rsidR="00350C32" w:rsidRDefault="00350C32" w:rsidP="00A263FE">
      <w:pPr>
        <w:pStyle w:val="Cabealho"/>
        <w:tabs>
          <w:tab w:val="clear" w:pos="4419"/>
          <w:tab w:val="clear" w:pos="8838"/>
          <w:tab w:val="num" w:pos="-993"/>
        </w:tabs>
        <w:ind w:left="-993" w:right="226"/>
        <w:jc w:val="both"/>
        <w:rPr>
          <w:rFonts w:ascii="Arial" w:eastAsia="Times New Roman" w:hAnsi="Arial" w:cs="Arial"/>
        </w:rPr>
      </w:pPr>
      <w:r w:rsidRPr="000A04CB">
        <w:rPr>
          <w:rFonts w:ascii="Arial" w:eastAsia="Times New Roman" w:hAnsi="Arial" w:cs="Arial"/>
        </w:rPr>
        <w:lastRenderedPageBreak/>
        <w:t xml:space="preserve">O número de ligações de água em </w:t>
      </w:r>
      <w:r w:rsidR="00301BDD">
        <w:rPr>
          <w:rFonts w:ascii="Arial" w:eastAsia="Times New Roman" w:hAnsi="Arial" w:cs="Arial"/>
        </w:rPr>
        <w:t>dezembro</w:t>
      </w:r>
      <w:r w:rsidR="00F545EA">
        <w:rPr>
          <w:rFonts w:ascii="Arial" w:eastAsia="Times New Roman" w:hAnsi="Arial" w:cs="Arial"/>
        </w:rPr>
        <w:t xml:space="preserve"> </w:t>
      </w:r>
      <w:r w:rsidRPr="000A04CB">
        <w:rPr>
          <w:rFonts w:ascii="Arial" w:eastAsia="Times New Roman" w:hAnsi="Arial" w:cs="Arial"/>
        </w:rPr>
        <w:t>de 202</w:t>
      </w:r>
      <w:r w:rsidR="008773A9">
        <w:rPr>
          <w:rFonts w:ascii="Arial" w:eastAsia="Times New Roman" w:hAnsi="Arial" w:cs="Arial"/>
        </w:rPr>
        <w:t>2</w:t>
      </w:r>
      <w:r w:rsidRPr="000A04CB">
        <w:rPr>
          <w:rFonts w:ascii="Arial" w:eastAsia="Times New Roman" w:hAnsi="Arial" w:cs="Arial"/>
        </w:rPr>
        <w:t xml:space="preserve"> </w:t>
      </w:r>
      <w:r w:rsidRPr="00CE1612">
        <w:rPr>
          <w:rFonts w:ascii="Arial" w:eastAsia="Times New Roman" w:hAnsi="Arial" w:cs="Arial"/>
        </w:rPr>
        <w:t xml:space="preserve">é </w:t>
      </w:r>
      <w:r w:rsidR="00F55BFF" w:rsidRPr="00F55BFF">
        <w:rPr>
          <w:rFonts w:ascii="Arial" w:eastAsia="Times New Roman" w:hAnsi="Arial" w:cs="Arial"/>
        </w:rPr>
        <w:t>1</w:t>
      </w:r>
      <w:r w:rsidRPr="00F55BFF">
        <w:rPr>
          <w:rFonts w:ascii="Arial" w:eastAsia="Times New Roman" w:hAnsi="Arial" w:cs="Arial"/>
        </w:rPr>
        <w:t>,</w:t>
      </w:r>
      <w:r w:rsidR="00F55BFF" w:rsidRPr="00F55BFF">
        <w:rPr>
          <w:rFonts w:ascii="Arial" w:eastAsia="Times New Roman" w:hAnsi="Arial" w:cs="Arial"/>
        </w:rPr>
        <w:t>9</w:t>
      </w:r>
      <w:r w:rsidRPr="00F55BFF">
        <w:rPr>
          <w:rFonts w:ascii="Arial" w:eastAsia="Times New Roman" w:hAnsi="Arial" w:cs="Arial"/>
        </w:rPr>
        <w:t>%</w:t>
      </w:r>
      <w:r w:rsidRPr="00E17AE6">
        <w:rPr>
          <w:rFonts w:ascii="Arial" w:eastAsia="Times New Roman" w:hAnsi="Arial" w:cs="Arial"/>
        </w:rPr>
        <w:t xml:space="preserve"> superior ao número de ligações existentes em </w:t>
      </w:r>
      <w:r w:rsidR="00301BDD">
        <w:rPr>
          <w:rFonts w:ascii="Arial" w:eastAsia="Times New Roman" w:hAnsi="Arial" w:cs="Arial"/>
        </w:rPr>
        <w:t>dezembro</w:t>
      </w:r>
      <w:r w:rsidR="00F545EA">
        <w:rPr>
          <w:rFonts w:ascii="Arial" w:eastAsia="Times New Roman" w:hAnsi="Arial" w:cs="Arial"/>
        </w:rPr>
        <w:t xml:space="preserve"> </w:t>
      </w:r>
      <w:r w:rsidRPr="00E17AE6">
        <w:rPr>
          <w:rFonts w:ascii="Arial" w:eastAsia="Times New Roman" w:hAnsi="Arial" w:cs="Arial"/>
        </w:rPr>
        <w:t>de 20</w:t>
      </w:r>
      <w:r>
        <w:rPr>
          <w:rFonts w:ascii="Arial" w:eastAsia="Times New Roman" w:hAnsi="Arial" w:cs="Arial"/>
        </w:rPr>
        <w:t>2</w:t>
      </w:r>
      <w:r w:rsidR="008773A9">
        <w:rPr>
          <w:rFonts w:ascii="Arial" w:eastAsia="Times New Roman" w:hAnsi="Arial" w:cs="Arial"/>
        </w:rPr>
        <w:t>1</w:t>
      </w:r>
      <w:r w:rsidRPr="00E17AE6">
        <w:rPr>
          <w:rFonts w:ascii="Arial" w:eastAsia="Times New Roman" w:hAnsi="Arial" w:cs="Arial"/>
        </w:rPr>
        <w:t xml:space="preserve">, representando um incremento </w:t>
      </w:r>
      <w:r w:rsidRPr="000156E0">
        <w:rPr>
          <w:rFonts w:ascii="Arial" w:eastAsia="Times New Roman" w:hAnsi="Arial" w:cs="Arial"/>
        </w:rPr>
        <w:t xml:space="preserve">de </w:t>
      </w:r>
      <w:r w:rsidR="00F55BFF" w:rsidRPr="00F55BFF">
        <w:rPr>
          <w:rFonts w:ascii="Arial" w:eastAsia="Times New Roman" w:hAnsi="Arial" w:cs="Arial"/>
        </w:rPr>
        <w:t>62</w:t>
      </w:r>
      <w:r w:rsidRPr="00F55BFF">
        <w:rPr>
          <w:rFonts w:ascii="Arial" w:eastAsia="Times New Roman" w:hAnsi="Arial" w:cs="Arial"/>
        </w:rPr>
        <w:t>.</w:t>
      </w:r>
      <w:r w:rsidR="00F55BFF" w:rsidRPr="00F55BFF">
        <w:rPr>
          <w:rFonts w:ascii="Arial" w:eastAsia="Times New Roman" w:hAnsi="Arial" w:cs="Arial"/>
        </w:rPr>
        <w:t>245</w:t>
      </w:r>
      <w:r w:rsidRPr="000A04CB">
        <w:rPr>
          <w:rFonts w:ascii="Arial" w:eastAsia="Times New Roman" w:hAnsi="Arial" w:cs="Arial"/>
        </w:rPr>
        <w:t xml:space="preserve"> ligações de água, conforme demonstrado a seguir:</w:t>
      </w:r>
    </w:p>
    <w:p w14:paraId="791F3781" w14:textId="77777777" w:rsidR="001D4A10" w:rsidRPr="00A263FE" w:rsidRDefault="001D4A10" w:rsidP="00A263FE">
      <w:pPr>
        <w:pStyle w:val="Cabealho"/>
        <w:tabs>
          <w:tab w:val="clear" w:pos="4419"/>
          <w:tab w:val="clear" w:pos="8838"/>
          <w:tab w:val="num" w:pos="-993"/>
        </w:tabs>
        <w:ind w:left="-993" w:right="226"/>
        <w:jc w:val="both"/>
        <w:rPr>
          <w:rFonts w:ascii="Arial" w:eastAsia="Times New Roman" w:hAnsi="Arial" w:cs="Arial"/>
        </w:rPr>
      </w:pPr>
    </w:p>
    <w:bookmarkStart w:id="3" w:name="_MON_1603603231"/>
    <w:bookmarkEnd w:id="3"/>
    <w:p w14:paraId="3F204561" w14:textId="64ADC3F5" w:rsidR="00350C32" w:rsidRDefault="00F55BFF" w:rsidP="00A263FE">
      <w:pPr>
        <w:tabs>
          <w:tab w:val="num" w:pos="-993"/>
        </w:tabs>
        <w:ind w:left="-993" w:right="226"/>
        <w:contextualSpacing/>
        <w:jc w:val="both"/>
        <w:rPr>
          <w:rFonts w:ascii="Arial" w:eastAsia="Calibri" w:hAnsi="Arial" w:cs="Arial"/>
          <w:sz w:val="18"/>
          <w:szCs w:val="18"/>
          <w:lang w:eastAsia="en-US"/>
        </w:rPr>
      </w:pPr>
      <w:r w:rsidRPr="00EC7340">
        <w:rPr>
          <w:rFonts w:ascii="Arial" w:eastAsia="Calibri" w:hAnsi="Arial" w:cs="Arial"/>
          <w:sz w:val="22"/>
          <w:szCs w:val="22"/>
          <w:lang w:eastAsia="en-US"/>
        </w:rPr>
        <w:object w:dxaOrig="10213" w:dyaOrig="1949" w14:anchorId="0572B3A4">
          <v:shape id="_x0000_i1027" type="#_x0000_t75" style="width:530.5pt;height:118.85pt" o:ole="">
            <v:imagedata r:id="rId14" o:title=""/>
          </v:shape>
          <o:OLEObject Type="Embed" ProgID="Excel.Sheet.12" ShapeID="_x0000_i1027" DrawAspect="Content" ObjectID="_1737529289" r:id="rId15"/>
        </w:object>
      </w:r>
      <w:r w:rsidR="00350C32" w:rsidRPr="00EC7340">
        <w:rPr>
          <w:rFonts w:ascii="Arial" w:eastAsia="Calibri" w:hAnsi="Arial" w:cs="Arial"/>
          <w:sz w:val="18"/>
          <w:szCs w:val="18"/>
          <w:lang w:eastAsia="en-US"/>
        </w:rPr>
        <w:t xml:space="preserve"> </w:t>
      </w:r>
    </w:p>
    <w:p w14:paraId="35A7CEF5" w14:textId="77777777" w:rsidR="008773A9" w:rsidRPr="008773A9" w:rsidRDefault="008773A9" w:rsidP="00A263FE">
      <w:pPr>
        <w:tabs>
          <w:tab w:val="num" w:pos="-993"/>
        </w:tabs>
        <w:ind w:left="-993" w:right="226"/>
        <w:contextualSpacing/>
        <w:jc w:val="both"/>
        <w:rPr>
          <w:rFonts w:ascii="Arial" w:eastAsia="Calibri" w:hAnsi="Arial" w:cs="Arial"/>
          <w:sz w:val="10"/>
          <w:szCs w:val="10"/>
          <w:lang w:eastAsia="en-US"/>
        </w:rPr>
      </w:pPr>
    </w:p>
    <w:p w14:paraId="5412641E" w14:textId="501E4E1F" w:rsidR="00350C32" w:rsidRDefault="00350C32" w:rsidP="00A263FE">
      <w:pPr>
        <w:tabs>
          <w:tab w:val="num" w:pos="-993"/>
        </w:tabs>
        <w:ind w:left="-993" w:right="226"/>
        <w:contextualSpacing/>
        <w:jc w:val="both"/>
        <w:rPr>
          <w:rFonts w:ascii="Arial" w:eastAsia="Calibri" w:hAnsi="Arial" w:cs="Arial"/>
          <w:sz w:val="18"/>
          <w:szCs w:val="18"/>
          <w:lang w:eastAsia="en-US"/>
        </w:rPr>
      </w:pPr>
      <w:r w:rsidRPr="00EC7340">
        <w:rPr>
          <w:rFonts w:ascii="Arial" w:eastAsia="Calibri" w:hAnsi="Arial" w:cs="Arial"/>
          <w:sz w:val="18"/>
          <w:szCs w:val="18"/>
          <w:lang w:eastAsia="en-US"/>
        </w:rPr>
        <w:t>* Informação não</w:t>
      </w:r>
      <w:r w:rsidR="009F769C">
        <w:rPr>
          <w:rFonts w:ascii="Arial" w:eastAsia="Calibri" w:hAnsi="Arial" w:cs="Arial"/>
          <w:sz w:val="18"/>
          <w:szCs w:val="18"/>
          <w:lang w:eastAsia="en-US"/>
        </w:rPr>
        <w:t xml:space="preserve"> auditada ou</w:t>
      </w:r>
      <w:r w:rsidRPr="00EC7340">
        <w:rPr>
          <w:rFonts w:ascii="Arial" w:eastAsia="Calibri" w:hAnsi="Arial" w:cs="Arial"/>
          <w:sz w:val="18"/>
          <w:szCs w:val="18"/>
          <w:lang w:eastAsia="en-US"/>
        </w:rPr>
        <w:t xml:space="preserve"> revisada pelos auditores independentes.</w:t>
      </w:r>
    </w:p>
    <w:p w14:paraId="0DC531B5" w14:textId="77777777" w:rsidR="004946F5" w:rsidRPr="004946F5" w:rsidRDefault="004946F5" w:rsidP="00A263FE">
      <w:pPr>
        <w:tabs>
          <w:tab w:val="num" w:pos="-993"/>
        </w:tabs>
        <w:ind w:left="-993" w:right="226"/>
        <w:contextualSpacing/>
        <w:jc w:val="both"/>
        <w:rPr>
          <w:rFonts w:ascii="Arial" w:eastAsia="Calibri" w:hAnsi="Arial" w:cs="Arial"/>
          <w:lang w:eastAsia="en-US"/>
        </w:rPr>
      </w:pPr>
    </w:p>
    <w:p w14:paraId="3B3AFE6D" w14:textId="692FCB12" w:rsidR="00350C32" w:rsidRDefault="00350C32" w:rsidP="00A263FE">
      <w:pPr>
        <w:tabs>
          <w:tab w:val="num" w:pos="-993"/>
        </w:tabs>
        <w:ind w:left="-993" w:right="226"/>
        <w:contextualSpacing/>
        <w:jc w:val="both"/>
        <w:rPr>
          <w:rFonts w:ascii="Arial" w:eastAsia="Calibri" w:hAnsi="Arial" w:cs="Arial"/>
          <w:lang w:eastAsia="en-US"/>
        </w:rPr>
      </w:pPr>
      <w:r w:rsidRPr="000A04CB">
        <w:rPr>
          <w:rFonts w:ascii="Arial" w:eastAsia="Times New Roman" w:hAnsi="Arial" w:cs="Arial"/>
        </w:rPr>
        <w:t xml:space="preserve">O número de ligações de esgoto em </w:t>
      </w:r>
      <w:r w:rsidR="00301BDD">
        <w:rPr>
          <w:rFonts w:ascii="Arial" w:eastAsia="Times New Roman" w:hAnsi="Arial" w:cs="Arial"/>
        </w:rPr>
        <w:t>dezembro</w:t>
      </w:r>
      <w:r w:rsidRPr="000A04CB">
        <w:rPr>
          <w:rFonts w:ascii="Arial" w:eastAsia="Times New Roman" w:hAnsi="Arial" w:cs="Arial"/>
        </w:rPr>
        <w:t xml:space="preserve"> de 202</w:t>
      </w:r>
      <w:r w:rsidR="008773A9">
        <w:rPr>
          <w:rFonts w:ascii="Arial" w:eastAsia="Times New Roman" w:hAnsi="Arial" w:cs="Arial"/>
        </w:rPr>
        <w:t>2</w:t>
      </w:r>
      <w:r w:rsidRPr="000A04CB">
        <w:rPr>
          <w:rFonts w:ascii="Arial" w:eastAsia="Times New Roman" w:hAnsi="Arial" w:cs="Arial"/>
        </w:rPr>
        <w:t xml:space="preserve"> </w:t>
      </w:r>
      <w:r w:rsidRPr="00E74EDD">
        <w:rPr>
          <w:rFonts w:ascii="Arial" w:eastAsia="Times New Roman" w:hAnsi="Arial" w:cs="Arial"/>
        </w:rPr>
        <w:t xml:space="preserve">é </w:t>
      </w:r>
      <w:r w:rsidR="00045E33" w:rsidRPr="00045E33">
        <w:rPr>
          <w:rFonts w:ascii="Arial" w:eastAsia="Times New Roman" w:hAnsi="Arial" w:cs="Arial"/>
        </w:rPr>
        <w:t>2</w:t>
      </w:r>
      <w:r w:rsidR="000156E0" w:rsidRPr="00045E33">
        <w:rPr>
          <w:rFonts w:ascii="Arial" w:eastAsia="Times New Roman" w:hAnsi="Arial" w:cs="Arial"/>
        </w:rPr>
        <w:t>,</w:t>
      </w:r>
      <w:r w:rsidR="00045E33" w:rsidRPr="00045E33">
        <w:rPr>
          <w:rFonts w:ascii="Arial" w:eastAsia="Times New Roman" w:hAnsi="Arial" w:cs="Arial"/>
        </w:rPr>
        <w:t>8</w:t>
      </w:r>
      <w:r w:rsidRPr="00045E33">
        <w:rPr>
          <w:rFonts w:ascii="Arial" w:eastAsia="Times New Roman" w:hAnsi="Arial" w:cs="Arial"/>
        </w:rPr>
        <w:t>%</w:t>
      </w:r>
      <w:r w:rsidRPr="00E74EDD">
        <w:rPr>
          <w:rFonts w:ascii="Arial" w:eastAsia="Times New Roman" w:hAnsi="Arial" w:cs="Arial"/>
        </w:rPr>
        <w:t xml:space="preserve"> superior ao número de ligações existentes em </w:t>
      </w:r>
      <w:r w:rsidR="00301BDD">
        <w:rPr>
          <w:rFonts w:ascii="Arial" w:eastAsia="Times New Roman" w:hAnsi="Arial" w:cs="Arial"/>
        </w:rPr>
        <w:t>dezembro</w:t>
      </w:r>
      <w:r w:rsidRPr="00E74EDD">
        <w:rPr>
          <w:rFonts w:ascii="Arial" w:eastAsia="Times New Roman" w:hAnsi="Arial" w:cs="Arial"/>
        </w:rPr>
        <w:t xml:space="preserve"> de 202</w:t>
      </w:r>
      <w:r w:rsidR="008773A9">
        <w:rPr>
          <w:rFonts w:ascii="Arial" w:eastAsia="Times New Roman" w:hAnsi="Arial" w:cs="Arial"/>
        </w:rPr>
        <w:t>1</w:t>
      </w:r>
      <w:r w:rsidRPr="00E74EDD">
        <w:rPr>
          <w:rFonts w:ascii="Arial" w:eastAsia="Times New Roman" w:hAnsi="Arial" w:cs="Arial"/>
        </w:rPr>
        <w:t xml:space="preserve">, representando acréscimo de </w:t>
      </w:r>
      <w:r w:rsidR="00045E33" w:rsidRPr="00045E33">
        <w:rPr>
          <w:rFonts w:ascii="Arial" w:eastAsia="Times New Roman" w:hAnsi="Arial" w:cs="Arial"/>
        </w:rPr>
        <w:t>65</w:t>
      </w:r>
      <w:r w:rsidR="00192993" w:rsidRPr="00045E33">
        <w:rPr>
          <w:rFonts w:ascii="Arial" w:eastAsia="Times New Roman" w:hAnsi="Arial" w:cs="Arial"/>
        </w:rPr>
        <w:t>.</w:t>
      </w:r>
      <w:r w:rsidR="00045E33" w:rsidRPr="00045E33">
        <w:rPr>
          <w:rFonts w:ascii="Arial" w:eastAsia="Times New Roman" w:hAnsi="Arial" w:cs="Arial"/>
        </w:rPr>
        <w:t>892</w:t>
      </w:r>
      <w:r w:rsidRPr="000A04CB">
        <w:rPr>
          <w:rFonts w:ascii="Arial" w:eastAsia="Times New Roman" w:hAnsi="Arial" w:cs="Arial"/>
        </w:rPr>
        <w:t xml:space="preserve"> novas ligações de esgoto, conforme</w:t>
      </w:r>
      <w:r w:rsidRPr="000A04CB">
        <w:rPr>
          <w:rFonts w:ascii="Arial" w:eastAsia="Calibri" w:hAnsi="Arial" w:cs="Arial"/>
          <w:lang w:eastAsia="en-US"/>
        </w:rPr>
        <w:t xml:space="preserve"> demonstrado a seguir:</w:t>
      </w:r>
    </w:p>
    <w:p w14:paraId="613F7210" w14:textId="77777777" w:rsidR="00350C32" w:rsidRPr="00213F73" w:rsidRDefault="00350C32" w:rsidP="00A263FE">
      <w:pPr>
        <w:tabs>
          <w:tab w:val="num" w:pos="-993"/>
        </w:tabs>
        <w:ind w:left="-993" w:right="226"/>
        <w:contextualSpacing/>
        <w:jc w:val="both"/>
        <w:rPr>
          <w:rFonts w:ascii="Arial" w:eastAsia="Calibri" w:hAnsi="Arial" w:cs="Arial"/>
          <w:lang w:eastAsia="en-US"/>
        </w:rPr>
      </w:pPr>
    </w:p>
    <w:bookmarkStart w:id="4" w:name="_MON_1603603854"/>
    <w:bookmarkEnd w:id="4"/>
    <w:p w14:paraId="5A07C12E" w14:textId="18DCD9D4" w:rsidR="00350C32" w:rsidRDefault="00045E33" w:rsidP="00A263FE">
      <w:pPr>
        <w:tabs>
          <w:tab w:val="num" w:pos="-993"/>
          <w:tab w:val="left" w:pos="9639"/>
        </w:tabs>
        <w:ind w:left="-993" w:right="226"/>
        <w:contextualSpacing/>
        <w:jc w:val="both"/>
        <w:rPr>
          <w:rFonts w:ascii="Arial" w:eastAsia="Calibri" w:hAnsi="Arial" w:cs="Arial"/>
          <w:sz w:val="22"/>
          <w:szCs w:val="22"/>
          <w:lang w:eastAsia="en-US"/>
        </w:rPr>
      </w:pPr>
      <w:r w:rsidRPr="00EC7340">
        <w:rPr>
          <w:rFonts w:ascii="Arial" w:eastAsia="Calibri" w:hAnsi="Arial" w:cs="Arial"/>
          <w:sz w:val="22"/>
          <w:szCs w:val="22"/>
          <w:lang w:eastAsia="en-US"/>
        </w:rPr>
        <w:object w:dxaOrig="10230" w:dyaOrig="2006" w14:anchorId="1C6254E0">
          <v:shape id="_x0000_i1028" type="#_x0000_t75" style="width:531.15pt;height:110.7pt" o:ole="">
            <v:imagedata r:id="rId16" o:title=""/>
          </v:shape>
          <o:OLEObject Type="Embed" ProgID="Excel.Sheet.12" ShapeID="_x0000_i1028" DrawAspect="Content" ObjectID="_1737529290" r:id="rId17"/>
        </w:object>
      </w:r>
    </w:p>
    <w:p w14:paraId="0CC72542" w14:textId="77777777" w:rsidR="008773A9" w:rsidRPr="008773A9" w:rsidRDefault="008773A9" w:rsidP="00A263FE">
      <w:pPr>
        <w:tabs>
          <w:tab w:val="num" w:pos="-993"/>
        </w:tabs>
        <w:ind w:left="-993" w:right="226"/>
        <w:contextualSpacing/>
        <w:jc w:val="both"/>
        <w:rPr>
          <w:rFonts w:ascii="Arial" w:eastAsia="Calibri" w:hAnsi="Arial" w:cs="Arial"/>
          <w:sz w:val="10"/>
          <w:szCs w:val="10"/>
          <w:lang w:eastAsia="en-US"/>
        </w:rPr>
      </w:pPr>
    </w:p>
    <w:p w14:paraId="768AD4BA" w14:textId="01BB62BA" w:rsidR="00350C32" w:rsidRPr="00EC7340" w:rsidRDefault="00350C32" w:rsidP="00A263FE">
      <w:pPr>
        <w:tabs>
          <w:tab w:val="num" w:pos="-993"/>
        </w:tabs>
        <w:ind w:left="-993" w:right="226"/>
        <w:contextualSpacing/>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470FEDAA" w14:textId="77777777" w:rsidR="00350C32" w:rsidRDefault="00350C32" w:rsidP="00A263FE">
      <w:pPr>
        <w:tabs>
          <w:tab w:val="num" w:pos="-993"/>
        </w:tabs>
        <w:ind w:left="-993" w:right="226"/>
        <w:contextualSpacing/>
        <w:rPr>
          <w:rFonts w:ascii="Arial" w:eastAsia="Calibri" w:hAnsi="Arial" w:cs="Arial"/>
          <w:lang w:eastAsia="en-US"/>
        </w:rPr>
      </w:pPr>
    </w:p>
    <w:p w14:paraId="07830AC7" w14:textId="4B37CDBB" w:rsidR="00350C32" w:rsidRPr="000A04CB" w:rsidRDefault="00350C32" w:rsidP="00A263FE">
      <w:pPr>
        <w:pStyle w:val="Cabealho"/>
        <w:tabs>
          <w:tab w:val="clear" w:pos="4419"/>
          <w:tab w:val="clear" w:pos="8838"/>
          <w:tab w:val="num" w:pos="-993"/>
        </w:tabs>
        <w:ind w:left="-993" w:right="226"/>
        <w:rPr>
          <w:rFonts w:ascii="Arial" w:eastAsia="Times New Roman" w:hAnsi="Arial" w:cs="Arial"/>
          <w:b/>
          <w:bCs/>
          <w:color w:val="355993"/>
        </w:rPr>
      </w:pPr>
      <w:r w:rsidRPr="000A04CB">
        <w:rPr>
          <w:rFonts w:ascii="Arial" w:eastAsia="Times New Roman" w:hAnsi="Arial" w:cs="Arial"/>
          <w:b/>
          <w:bCs/>
          <w:color w:val="355993"/>
        </w:rPr>
        <w:t xml:space="preserve">1.2   </w:t>
      </w:r>
      <w:r w:rsidR="008773A9">
        <w:rPr>
          <w:rFonts w:ascii="Arial" w:eastAsia="Times New Roman" w:hAnsi="Arial" w:cs="Arial"/>
          <w:b/>
          <w:bCs/>
          <w:color w:val="355993"/>
        </w:rPr>
        <w:t>DESEMPENHO OPERACIONAL</w:t>
      </w:r>
    </w:p>
    <w:p w14:paraId="4941231F" w14:textId="77777777" w:rsidR="00350C32" w:rsidRPr="00213F73" w:rsidRDefault="00350C32" w:rsidP="00A263FE">
      <w:pPr>
        <w:tabs>
          <w:tab w:val="num" w:pos="-993"/>
        </w:tabs>
        <w:ind w:left="-993" w:right="226"/>
        <w:contextualSpacing/>
        <w:rPr>
          <w:rFonts w:ascii="Arial" w:eastAsia="Calibri" w:hAnsi="Arial" w:cs="Arial"/>
          <w:b/>
          <w:color w:val="0033CC"/>
          <w:lang w:eastAsia="en-US"/>
        </w:rPr>
      </w:pPr>
    </w:p>
    <w:p w14:paraId="62ED4A41" w14:textId="0C53698C" w:rsidR="00350C32" w:rsidRPr="000A04CB" w:rsidRDefault="00350C32" w:rsidP="00A263FE">
      <w:pPr>
        <w:tabs>
          <w:tab w:val="num" w:pos="-993"/>
        </w:tabs>
        <w:ind w:left="-993" w:right="226"/>
        <w:contextualSpacing/>
        <w:jc w:val="both"/>
        <w:rPr>
          <w:rFonts w:ascii="Arial" w:eastAsia="Times New Roman" w:hAnsi="Arial" w:cs="Arial"/>
        </w:rPr>
      </w:pPr>
      <w:r w:rsidRPr="00442399">
        <w:rPr>
          <w:rFonts w:ascii="Arial" w:eastAsia="Times New Roman" w:hAnsi="Arial" w:cs="Arial"/>
        </w:rPr>
        <w:t xml:space="preserve">No </w:t>
      </w:r>
      <w:r w:rsidR="00335FDA">
        <w:rPr>
          <w:rFonts w:ascii="Arial" w:eastAsia="Times New Roman" w:hAnsi="Arial" w:cs="Arial"/>
        </w:rPr>
        <w:t>4</w:t>
      </w:r>
      <w:r w:rsidRPr="00442399">
        <w:rPr>
          <w:rFonts w:ascii="Arial" w:eastAsia="Times New Roman" w:hAnsi="Arial" w:cs="Arial"/>
        </w:rPr>
        <w:t>T2</w:t>
      </w:r>
      <w:r w:rsidR="008773A9">
        <w:rPr>
          <w:rFonts w:ascii="Arial" w:eastAsia="Times New Roman" w:hAnsi="Arial" w:cs="Arial"/>
        </w:rPr>
        <w:t>2</w:t>
      </w:r>
      <w:r w:rsidRPr="00442399">
        <w:rPr>
          <w:rFonts w:ascii="Arial" w:eastAsia="Times New Roman" w:hAnsi="Arial" w:cs="Arial"/>
        </w:rPr>
        <w:t xml:space="preserve">, o volume medido de água tratada foi de </w:t>
      </w:r>
      <w:r w:rsidR="00952E23" w:rsidRPr="00743810">
        <w:rPr>
          <w:rFonts w:ascii="Arial" w:eastAsia="Times New Roman" w:hAnsi="Arial" w:cs="Arial"/>
        </w:rPr>
        <w:t>12</w:t>
      </w:r>
      <w:r w:rsidR="00743810" w:rsidRPr="00743810">
        <w:rPr>
          <w:rFonts w:ascii="Arial" w:eastAsia="Times New Roman" w:hAnsi="Arial" w:cs="Arial"/>
        </w:rPr>
        <w:t>8</w:t>
      </w:r>
      <w:r w:rsidRPr="00743810">
        <w:rPr>
          <w:rFonts w:ascii="Arial" w:eastAsia="Times New Roman" w:hAnsi="Arial" w:cs="Arial"/>
        </w:rPr>
        <w:t>,</w:t>
      </w:r>
      <w:r w:rsidR="00743810" w:rsidRPr="00743810">
        <w:rPr>
          <w:rFonts w:ascii="Arial" w:eastAsia="Times New Roman" w:hAnsi="Arial" w:cs="Arial"/>
        </w:rPr>
        <w:t>9</w:t>
      </w:r>
      <w:r w:rsidRPr="00442399">
        <w:rPr>
          <w:rFonts w:ascii="Arial" w:eastAsia="Times New Roman" w:hAnsi="Arial" w:cs="Arial"/>
        </w:rPr>
        <w:t xml:space="preserve"> milhões de m³</w:t>
      </w:r>
      <w:r w:rsidR="00952E23">
        <w:rPr>
          <w:rFonts w:ascii="Arial" w:eastAsia="Times New Roman" w:hAnsi="Arial" w:cs="Arial"/>
        </w:rPr>
        <w:t xml:space="preserve">, </w:t>
      </w:r>
      <w:r w:rsidR="00A54847">
        <w:rPr>
          <w:rFonts w:ascii="Arial" w:eastAsia="Times New Roman" w:hAnsi="Arial" w:cs="Arial"/>
        </w:rPr>
        <w:t>contra 127,2 milhões de m³</w:t>
      </w:r>
      <w:r w:rsidR="00952E23">
        <w:rPr>
          <w:rFonts w:ascii="Arial" w:eastAsia="Times New Roman" w:hAnsi="Arial" w:cs="Arial"/>
        </w:rPr>
        <w:t xml:space="preserve"> no 4T2</w:t>
      </w:r>
      <w:r w:rsidR="008773A9">
        <w:rPr>
          <w:rFonts w:ascii="Arial" w:eastAsia="Times New Roman" w:hAnsi="Arial" w:cs="Arial"/>
        </w:rPr>
        <w:t>1</w:t>
      </w:r>
      <w:r w:rsidRPr="00952E23">
        <w:rPr>
          <w:rFonts w:ascii="Arial" w:eastAsia="Times New Roman" w:hAnsi="Arial" w:cs="Arial"/>
        </w:rPr>
        <w:t>,</w:t>
      </w:r>
      <w:r w:rsidRPr="00442399">
        <w:rPr>
          <w:rFonts w:ascii="Arial" w:eastAsia="Times New Roman" w:hAnsi="Arial" w:cs="Arial"/>
        </w:rPr>
        <w:t xml:space="preserve"> </w:t>
      </w:r>
      <w:r w:rsidR="00A54847">
        <w:rPr>
          <w:rFonts w:ascii="Arial" w:eastAsia="Times New Roman" w:hAnsi="Arial" w:cs="Arial"/>
        </w:rPr>
        <w:t xml:space="preserve">representando um aumento de 1,3%, </w:t>
      </w:r>
      <w:r w:rsidRPr="00442399">
        <w:rPr>
          <w:rFonts w:ascii="Arial" w:eastAsia="Times New Roman" w:hAnsi="Arial" w:cs="Arial"/>
        </w:rPr>
        <w:t>conforme demonstrado a seguir:</w:t>
      </w:r>
    </w:p>
    <w:p w14:paraId="44469254" w14:textId="77777777" w:rsidR="00350C32" w:rsidRPr="00213F73" w:rsidRDefault="00350C32" w:rsidP="00A263FE">
      <w:pPr>
        <w:tabs>
          <w:tab w:val="num" w:pos="-993"/>
        </w:tabs>
        <w:ind w:left="-993" w:right="226"/>
        <w:contextualSpacing/>
        <w:jc w:val="both"/>
        <w:rPr>
          <w:rFonts w:ascii="Arial" w:eastAsia="Calibri" w:hAnsi="Arial" w:cs="Arial"/>
          <w:lang w:eastAsia="en-US"/>
        </w:rPr>
      </w:pPr>
    </w:p>
    <w:bookmarkStart w:id="5" w:name="_MON_1633500631"/>
    <w:bookmarkEnd w:id="5"/>
    <w:p w14:paraId="62687DE0" w14:textId="2BE851AF" w:rsidR="00350C32" w:rsidRDefault="00743810" w:rsidP="00A263FE">
      <w:pPr>
        <w:tabs>
          <w:tab w:val="num" w:pos="-993"/>
        </w:tabs>
        <w:ind w:left="-993" w:right="226"/>
        <w:contextualSpacing/>
        <w:rPr>
          <w:rFonts w:ascii="Arial" w:eastAsia="Calibri" w:hAnsi="Arial" w:cs="Arial"/>
          <w:sz w:val="22"/>
          <w:szCs w:val="22"/>
          <w:lang w:eastAsia="en-US"/>
        </w:rPr>
      </w:pPr>
      <w:r w:rsidRPr="00EC7340">
        <w:rPr>
          <w:rFonts w:ascii="Arial" w:eastAsia="Calibri" w:hAnsi="Arial" w:cs="Arial"/>
          <w:sz w:val="22"/>
          <w:szCs w:val="22"/>
          <w:lang w:eastAsia="en-US"/>
        </w:rPr>
        <w:object w:dxaOrig="10230" w:dyaOrig="1977" w14:anchorId="035ED4FE">
          <v:shape id="_x0000_i1029" type="#_x0000_t75" style="width:531.15pt;height:107.3pt" o:ole="">
            <v:imagedata r:id="rId18" o:title=""/>
          </v:shape>
          <o:OLEObject Type="Embed" ProgID="Excel.Sheet.12" ShapeID="_x0000_i1029" DrawAspect="Content" ObjectID="_1737529291" r:id="rId19"/>
        </w:object>
      </w:r>
    </w:p>
    <w:p w14:paraId="5DB1E0A7" w14:textId="77777777" w:rsidR="00350C32" w:rsidRPr="00DC316D" w:rsidRDefault="00350C32" w:rsidP="00A263FE">
      <w:pPr>
        <w:tabs>
          <w:tab w:val="num" w:pos="-993"/>
        </w:tabs>
        <w:ind w:left="-993" w:right="226"/>
        <w:contextualSpacing/>
        <w:rPr>
          <w:rFonts w:ascii="Arial" w:eastAsia="Calibri" w:hAnsi="Arial" w:cs="Arial"/>
          <w:sz w:val="6"/>
          <w:szCs w:val="22"/>
          <w:lang w:eastAsia="en-US"/>
        </w:rPr>
      </w:pPr>
    </w:p>
    <w:p w14:paraId="75D1D9A8" w14:textId="77777777" w:rsidR="008773A9" w:rsidRPr="008773A9" w:rsidRDefault="008773A9" w:rsidP="00A263FE">
      <w:pPr>
        <w:tabs>
          <w:tab w:val="num" w:pos="-993"/>
        </w:tabs>
        <w:ind w:left="-993" w:right="226"/>
        <w:contextualSpacing/>
        <w:rPr>
          <w:rFonts w:ascii="Arial" w:eastAsia="Calibri" w:hAnsi="Arial" w:cs="Arial"/>
          <w:sz w:val="10"/>
          <w:szCs w:val="10"/>
          <w:lang w:eastAsia="en-US"/>
        </w:rPr>
      </w:pPr>
    </w:p>
    <w:p w14:paraId="0C043E30" w14:textId="4EED047C" w:rsidR="00350C32" w:rsidRPr="00EC7340" w:rsidRDefault="00350C32" w:rsidP="00A263FE">
      <w:pPr>
        <w:tabs>
          <w:tab w:val="num" w:pos="-993"/>
        </w:tabs>
        <w:ind w:left="-993" w:right="226"/>
        <w:contextualSpacing/>
        <w:rPr>
          <w:rFonts w:ascii="Arial" w:eastAsia="Calibri" w:hAnsi="Arial" w:cs="Arial"/>
          <w:sz w:val="16"/>
          <w:szCs w:val="16"/>
          <w:lang w:eastAsia="en-US"/>
        </w:rPr>
      </w:pPr>
      <w:r w:rsidRPr="00EC7340">
        <w:rPr>
          <w:rFonts w:ascii="Arial" w:eastAsia="Calibri" w:hAnsi="Arial" w:cs="Arial"/>
          <w:sz w:val="18"/>
          <w:szCs w:val="18"/>
          <w:lang w:eastAsia="en-US"/>
        </w:rPr>
        <w:t xml:space="preserve"> *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39425A56" w14:textId="6110925E" w:rsidR="00350C32" w:rsidRDefault="00350C32" w:rsidP="00A263FE">
      <w:pPr>
        <w:tabs>
          <w:tab w:val="num" w:pos="-993"/>
        </w:tabs>
        <w:ind w:left="-993" w:right="226"/>
        <w:contextualSpacing/>
        <w:jc w:val="both"/>
        <w:rPr>
          <w:rFonts w:ascii="Arial" w:eastAsia="Calibri" w:hAnsi="Arial" w:cs="Arial"/>
          <w:lang w:eastAsia="en-US"/>
        </w:rPr>
      </w:pPr>
    </w:p>
    <w:p w14:paraId="53CC0108" w14:textId="5450646D" w:rsidR="004946F5" w:rsidRDefault="004946F5" w:rsidP="00A263FE">
      <w:pPr>
        <w:tabs>
          <w:tab w:val="num" w:pos="-993"/>
        </w:tabs>
        <w:ind w:left="-993" w:right="226"/>
        <w:contextualSpacing/>
        <w:jc w:val="both"/>
        <w:rPr>
          <w:rFonts w:ascii="Arial" w:eastAsia="Calibri" w:hAnsi="Arial" w:cs="Arial"/>
          <w:lang w:eastAsia="en-US"/>
        </w:rPr>
      </w:pPr>
    </w:p>
    <w:p w14:paraId="2B297F3E" w14:textId="72033899" w:rsidR="004946F5" w:rsidRDefault="004946F5" w:rsidP="00A263FE">
      <w:pPr>
        <w:tabs>
          <w:tab w:val="num" w:pos="-993"/>
        </w:tabs>
        <w:ind w:left="-993" w:right="226"/>
        <w:contextualSpacing/>
        <w:jc w:val="both"/>
        <w:rPr>
          <w:rFonts w:ascii="Arial" w:eastAsia="Calibri" w:hAnsi="Arial" w:cs="Arial"/>
          <w:lang w:eastAsia="en-US"/>
        </w:rPr>
      </w:pPr>
    </w:p>
    <w:p w14:paraId="009F45F0" w14:textId="794AC181" w:rsidR="004946F5" w:rsidRDefault="004946F5" w:rsidP="00A263FE">
      <w:pPr>
        <w:tabs>
          <w:tab w:val="num" w:pos="-993"/>
        </w:tabs>
        <w:ind w:left="-993" w:right="226"/>
        <w:contextualSpacing/>
        <w:jc w:val="both"/>
        <w:rPr>
          <w:rFonts w:ascii="Arial" w:eastAsia="Calibri" w:hAnsi="Arial" w:cs="Arial"/>
          <w:lang w:eastAsia="en-US"/>
        </w:rPr>
      </w:pPr>
    </w:p>
    <w:p w14:paraId="43EE7058" w14:textId="2D58B65D" w:rsidR="004946F5" w:rsidRDefault="004946F5" w:rsidP="00A263FE">
      <w:pPr>
        <w:tabs>
          <w:tab w:val="num" w:pos="-993"/>
        </w:tabs>
        <w:ind w:left="-993" w:right="226"/>
        <w:contextualSpacing/>
        <w:jc w:val="both"/>
        <w:rPr>
          <w:rFonts w:ascii="Arial" w:eastAsia="Calibri" w:hAnsi="Arial" w:cs="Arial"/>
          <w:lang w:eastAsia="en-US"/>
        </w:rPr>
      </w:pPr>
    </w:p>
    <w:p w14:paraId="3F58D1D2" w14:textId="4D763C6E" w:rsidR="004946F5" w:rsidRDefault="004946F5" w:rsidP="00A263FE">
      <w:pPr>
        <w:tabs>
          <w:tab w:val="num" w:pos="-993"/>
        </w:tabs>
        <w:ind w:left="-993" w:right="226"/>
        <w:contextualSpacing/>
        <w:jc w:val="both"/>
        <w:rPr>
          <w:rFonts w:ascii="Arial" w:eastAsia="Calibri" w:hAnsi="Arial" w:cs="Arial"/>
          <w:lang w:eastAsia="en-US"/>
        </w:rPr>
      </w:pPr>
    </w:p>
    <w:p w14:paraId="4BF92B51" w14:textId="30FF96B9" w:rsidR="004946F5" w:rsidRDefault="004946F5" w:rsidP="00A263FE">
      <w:pPr>
        <w:tabs>
          <w:tab w:val="num" w:pos="-993"/>
        </w:tabs>
        <w:ind w:left="-993" w:right="226"/>
        <w:contextualSpacing/>
        <w:jc w:val="both"/>
        <w:rPr>
          <w:rFonts w:ascii="Arial" w:eastAsia="Calibri" w:hAnsi="Arial" w:cs="Arial"/>
          <w:lang w:eastAsia="en-US"/>
        </w:rPr>
      </w:pPr>
    </w:p>
    <w:p w14:paraId="5845F7F2" w14:textId="0F45D65C" w:rsidR="004946F5" w:rsidRDefault="004946F5" w:rsidP="00A263FE">
      <w:pPr>
        <w:tabs>
          <w:tab w:val="num" w:pos="-993"/>
        </w:tabs>
        <w:ind w:left="-993" w:right="226"/>
        <w:contextualSpacing/>
        <w:jc w:val="both"/>
        <w:rPr>
          <w:rFonts w:ascii="Arial" w:eastAsia="Calibri" w:hAnsi="Arial" w:cs="Arial"/>
          <w:lang w:eastAsia="en-US"/>
        </w:rPr>
      </w:pPr>
    </w:p>
    <w:p w14:paraId="419057DB" w14:textId="297E6F5B" w:rsidR="00350C32" w:rsidRPr="000A04CB" w:rsidRDefault="00350C32" w:rsidP="00A263FE">
      <w:pPr>
        <w:tabs>
          <w:tab w:val="num" w:pos="-993"/>
        </w:tabs>
        <w:ind w:left="-993" w:right="226"/>
        <w:contextualSpacing/>
        <w:jc w:val="both"/>
        <w:rPr>
          <w:rFonts w:ascii="Arial" w:eastAsia="Times New Roman" w:hAnsi="Arial" w:cs="Arial"/>
        </w:rPr>
      </w:pPr>
      <w:r w:rsidRPr="008C44B6">
        <w:rPr>
          <w:rFonts w:ascii="Arial" w:eastAsia="Times New Roman" w:hAnsi="Arial" w:cs="Arial"/>
        </w:rPr>
        <w:lastRenderedPageBreak/>
        <w:t xml:space="preserve">No </w:t>
      </w:r>
      <w:r w:rsidR="00335FDA">
        <w:rPr>
          <w:rFonts w:ascii="Arial" w:eastAsia="Times New Roman" w:hAnsi="Arial" w:cs="Arial"/>
        </w:rPr>
        <w:t>4</w:t>
      </w:r>
      <w:r w:rsidRPr="008C44B6">
        <w:rPr>
          <w:rFonts w:ascii="Arial" w:eastAsia="Times New Roman" w:hAnsi="Arial" w:cs="Arial"/>
        </w:rPr>
        <w:t>T2</w:t>
      </w:r>
      <w:r w:rsidR="00481F34">
        <w:rPr>
          <w:rFonts w:ascii="Arial" w:eastAsia="Times New Roman" w:hAnsi="Arial" w:cs="Arial"/>
        </w:rPr>
        <w:t>2</w:t>
      </w:r>
      <w:r w:rsidRPr="008C44B6">
        <w:rPr>
          <w:rFonts w:ascii="Arial" w:eastAsia="Times New Roman" w:hAnsi="Arial" w:cs="Arial"/>
        </w:rPr>
        <w:t xml:space="preserve"> o volume faturado de água tratada foi de </w:t>
      </w:r>
      <w:r w:rsidR="00952E23" w:rsidRPr="004416C9">
        <w:rPr>
          <w:rFonts w:ascii="Arial" w:eastAsia="Times New Roman" w:hAnsi="Arial" w:cs="Arial"/>
        </w:rPr>
        <w:t>13</w:t>
      </w:r>
      <w:r w:rsidR="004416C9" w:rsidRPr="004416C9">
        <w:rPr>
          <w:rFonts w:ascii="Arial" w:eastAsia="Times New Roman" w:hAnsi="Arial" w:cs="Arial"/>
        </w:rPr>
        <w:t>5</w:t>
      </w:r>
      <w:r w:rsidR="00952E23" w:rsidRPr="004416C9">
        <w:rPr>
          <w:rFonts w:ascii="Arial" w:eastAsia="Times New Roman" w:hAnsi="Arial" w:cs="Arial"/>
        </w:rPr>
        <w:t>,</w:t>
      </w:r>
      <w:r w:rsidR="004416C9" w:rsidRPr="004416C9">
        <w:rPr>
          <w:rFonts w:ascii="Arial" w:eastAsia="Times New Roman" w:hAnsi="Arial" w:cs="Arial"/>
        </w:rPr>
        <w:t>6</w:t>
      </w:r>
      <w:r w:rsidRPr="008C44B6">
        <w:rPr>
          <w:rFonts w:ascii="Arial" w:eastAsia="Times New Roman" w:hAnsi="Arial" w:cs="Arial"/>
        </w:rPr>
        <w:t xml:space="preserve"> milhões de m³, </w:t>
      </w:r>
      <w:r w:rsidRPr="004416C9">
        <w:rPr>
          <w:rFonts w:ascii="Arial" w:eastAsia="Times New Roman" w:hAnsi="Arial" w:cs="Arial"/>
        </w:rPr>
        <w:t xml:space="preserve">contra </w:t>
      </w:r>
      <w:r w:rsidR="009C74FA" w:rsidRPr="004416C9">
        <w:rPr>
          <w:rFonts w:ascii="Arial" w:eastAsia="Times New Roman" w:hAnsi="Arial" w:cs="Arial"/>
        </w:rPr>
        <w:t>1</w:t>
      </w:r>
      <w:r w:rsidR="00040618" w:rsidRPr="004416C9">
        <w:rPr>
          <w:rFonts w:ascii="Arial" w:eastAsia="Times New Roman" w:hAnsi="Arial" w:cs="Arial"/>
        </w:rPr>
        <w:t>3</w:t>
      </w:r>
      <w:r w:rsidR="004416C9" w:rsidRPr="004416C9">
        <w:rPr>
          <w:rFonts w:ascii="Arial" w:eastAsia="Times New Roman" w:hAnsi="Arial" w:cs="Arial"/>
        </w:rPr>
        <w:t>3</w:t>
      </w:r>
      <w:r w:rsidRPr="004416C9">
        <w:rPr>
          <w:rFonts w:ascii="Arial" w:eastAsia="Times New Roman" w:hAnsi="Arial" w:cs="Arial"/>
        </w:rPr>
        <w:t>,</w:t>
      </w:r>
      <w:r w:rsidR="004416C9" w:rsidRPr="004416C9">
        <w:rPr>
          <w:rFonts w:ascii="Arial" w:eastAsia="Times New Roman" w:hAnsi="Arial" w:cs="Arial"/>
        </w:rPr>
        <w:t>2</w:t>
      </w:r>
      <w:r w:rsidRPr="008C44B6">
        <w:rPr>
          <w:rFonts w:ascii="Arial" w:eastAsia="Times New Roman" w:hAnsi="Arial" w:cs="Arial"/>
        </w:rPr>
        <w:t xml:space="preserve"> milhões de m³ no </w:t>
      </w:r>
      <w:r w:rsidR="00335FDA">
        <w:rPr>
          <w:rFonts w:ascii="Arial" w:eastAsia="Times New Roman" w:hAnsi="Arial" w:cs="Arial"/>
        </w:rPr>
        <w:t>4</w:t>
      </w:r>
      <w:r w:rsidRPr="008C44B6">
        <w:rPr>
          <w:rFonts w:ascii="Arial" w:eastAsia="Times New Roman" w:hAnsi="Arial" w:cs="Arial"/>
        </w:rPr>
        <w:t>T2</w:t>
      </w:r>
      <w:r w:rsidR="00481F34">
        <w:rPr>
          <w:rFonts w:ascii="Arial" w:eastAsia="Times New Roman" w:hAnsi="Arial" w:cs="Arial"/>
        </w:rPr>
        <w:t>1</w:t>
      </w:r>
      <w:r w:rsidRPr="008C44B6">
        <w:rPr>
          <w:rFonts w:ascii="Arial" w:eastAsia="Times New Roman" w:hAnsi="Arial" w:cs="Arial"/>
        </w:rPr>
        <w:t xml:space="preserve">, representando </w:t>
      </w:r>
      <w:r w:rsidRPr="004416C9">
        <w:rPr>
          <w:rFonts w:ascii="Arial" w:eastAsia="Times New Roman" w:hAnsi="Arial" w:cs="Arial"/>
        </w:rPr>
        <w:t>um</w:t>
      </w:r>
      <w:r w:rsidR="00250317" w:rsidRPr="004416C9">
        <w:rPr>
          <w:rFonts w:ascii="Arial" w:eastAsia="Times New Roman" w:hAnsi="Arial" w:cs="Arial"/>
        </w:rPr>
        <w:t xml:space="preserve"> aumento </w:t>
      </w:r>
      <w:r w:rsidRPr="004416C9">
        <w:rPr>
          <w:rFonts w:ascii="Arial" w:eastAsia="Times New Roman" w:hAnsi="Arial" w:cs="Arial"/>
        </w:rPr>
        <w:t xml:space="preserve">de </w:t>
      </w:r>
      <w:r w:rsidR="004416C9" w:rsidRPr="004416C9">
        <w:rPr>
          <w:rFonts w:ascii="Arial" w:eastAsia="Times New Roman" w:hAnsi="Arial" w:cs="Arial"/>
        </w:rPr>
        <w:t>1</w:t>
      </w:r>
      <w:r w:rsidR="00250317" w:rsidRPr="004416C9">
        <w:rPr>
          <w:rFonts w:ascii="Arial" w:eastAsia="Times New Roman" w:hAnsi="Arial" w:cs="Arial"/>
        </w:rPr>
        <w:t>,</w:t>
      </w:r>
      <w:r w:rsidR="004416C9" w:rsidRPr="004416C9">
        <w:rPr>
          <w:rFonts w:ascii="Arial" w:eastAsia="Times New Roman" w:hAnsi="Arial" w:cs="Arial"/>
        </w:rPr>
        <w:t>8</w:t>
      </w:r>
      <w:r w:rsidRPr="004416C9">
        <w:rPr>
          <w:rFonts w:ascii="Arial" w:eastAsia="Times New Roman" w:hAnsi="Arial" w:cs="Arial"/>
        </w:rPr>
        <w:t>%, conforme</w:t>
      </w:r>
      <w:r w:rsidRPr="008C44B6">
        <w:rPr>
          <w:rFonts w:ascii="Arial" w:eastAsia="Times New Roman" w:hAnsi="Arial" w:cs="Arial"/>
        </w:rPr>
        <w:t xml:space="preserve"> demonstrado a seguir:</w:t>
      </w:r>
    </w:p>
    <w:p w14:paraId="59873264" w14:textId="77777777" w:rsidR="00350C32" w:rsidRPr="00213F73" w:rsidRDefault="00350C32" w:rsidP="00A263FE">
      <w:pPr>
        <w:tabs>
          <w:tab w:val="num" w:pos="-993"/>
        </w:tabs>
        <w:ind w:left="-993" w:right="226"/>
        <w:contextualSpacing/>
        <w:jc w:val="both"/>
        <w:rPr>
          <w:rFonts w:ascii="Arial" w:eastAsia="Calibri" w:hAnsi="Arial" w:cs="Arial"/>
          <w:lang w:eastAsia="en-US"/>
        </w:rPr>
      </w:pPr>
    </w:p>
    <w:bookmarkStart w:id="6" w:name="_MON_1603604847"/>
    <w:bookmarkEnd w:id="6"/>
    <w:p w14:paraId="32A50B42" w14:textId="0FB8A65C" w:rsidR="00350C32" w:rsidRDefault="005F45E3" w:rsidP="00A263FE">
      <w:pPr>
        <w:tabs>
          <w:tab w:val="num" w:pos="-993"/>
        </w:tabs>
        <w:ind w:left="-993" w:right="226"/>
        <w:contextualSpacing/>
        <w:jc w:val="both"/>
        <w:rPr>
          <w:rFonts w:ascii="Arial" w:eastAsia="Calibri" w:hAnsi="Arial" w:cs="Arial"/>
          <w:sz w:val="22"/>
          <w:szCs w:val="22"/>
          <w:lang w:eastAsia="en-US"/>
        </w:rPr>
      </w:pPr>
      <w:r w:rsidRPr="00EC7340">
        <w:rPr>
          <w:rFonts w:ascii="Arial" w:eastAsia="Calibri" w:hAnsi="Arial" w:cs="Arial"/>
          <w:sz w:val="22"/>
          <w:szCs w:val="22"/>
          <w:lang w:eastAsia="en-US"/>
        </w:rPr>
        <w:object w:dxaOrig="10166" w:dyaOrig="1977" w14:anchorId="681DCFEA">
          <v:shape id="_x0000_i1030" type="#_x0000_t75" style="width:530.5pt;height:107.3pt" o:ole="">
            <v:imagedata r:id="rId20" o:title=""/>
          </v:shape>
          <o:OLEObject Type="Embed" ProgID="Excel.Sheet.12" ShapeID="_x0000_i1030" DrawAspect="Content" ObjectID="_1737529292" r:id="rId21"/>
        </w:object>
      </w:r>
    </w:p>
    <w:p w14:paraId="78222F63" w14:textId="77777777" w:rsidR="00481F34" w:rsidRPr="00481F34" w:rsidRDefault="00481F34" w:rsidP="00A263FE">
      <w:pPr>
        <w:tabs>
          <w:tab w:val="num" w:pos="-993"/>
        </w:tabs>
        <w:ind w:left="-993" w:right="226"/>
        <w:contextualSpacing/>
        <w:jc w:val="both"/>
        <w:rPr>
          <w:rFonts w:ascii="Arial" w:eastAsia="Calibri" w:hAnsi="Arial" w:cs="Arial"/>
          <w:sz w:val="10"/>
          <w:szCs w:val="10"/>
          <w:lang w:eastAsia="en-US"/>
        </w:rPr>
      </w:pPr>
    </w:p>
    <w:p w14:paraId="00ADB028" w14:textId="1565A972" w:rsidR="00350C32" w:rsidRPr="00EC7340" w:rsidRDefault="00350C32" w:rsidP="00A263FE">
      <w:pPr>
        <w:tabs>
          <w:tab w:val="num" w:pos="-993"/>
        </w:tabs>
        <w:ind w:left="-993" w:right="226"/>
        <w:contextualSpacing/>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224BA575" w14:textId="77777777" w:rsidR="00350C32" w:rsidRPr="00213F73" w:rsidRDefault="00350C32" w:rsidP="00A263FE">
      <w:pPr>
        <w:tabs>
          <w:tab w:val="num" w:pos="-993"/>
        </w:tabs>
        <w:ind w:left="-993" w:right="226"/>
        <w:contextualSpacing/>
        <w:rPr>
          <w:rFonts w:ascii="Arial" w:eastAsia="Calibri" w:hAnsi="Arial" w:cs="Arial"/>
          <w:lang w:eastAsia="en-US"/>
        </w:rPr>
      </w:pPr>
    </w:p>
    <w:p w14:paraId="6416425E" w14:textId="0EB0028B" w:rsidR="00350C32" w:rsidRDefault="00350C32" w:rsidP="00A263FE">
      <w:pPr>
        <w:tabs>
          <w:tab w:val="num" w:pos="-993"/>
        </w:tabs>
        <w:ind w:left="-993" w:right="226"/>
        <w:contextualSpacing/>
        <w:jc w:val="both"/>
        <w:rPr>
          <w:rFonts w:ascii="Arial" w:eastAsia="Times New Roman" w:hAnsi="Arial" w:cs="Arial"/>
        </w:rPr>
      </w:pPr>
      <w:r w:rsidRPr="000A04CB">
        <w:rPr>
          <w:rFonts w:ascii="Arial" w:eastAsia="Times New Roman" w:hAnsi="Arial" w:cs="Arial"/>
        </w:rPr>
        <w:t xml:space="preserve">O volume faturado de esgoto no </w:t>
      </w:r>
      <w:r w:rsidR="00335FDA">
        <w:rPr>
          <w:rFonts w:ascii="Arial" w:eastAsia="Times New Roman" w:hAnsi="Arial" w:cs="Arial"/>
        </w:rPr>
        <w:t>4</w:t>
      </w:r>
      <w:r w:rsidRPr="000A04CB">
        <w:rPr>
          <w:rFonts w:ascii="Arial" w:eastAsia="Times New Roman" w:hAnsi="Arial" w:cs="Arial"/>
        </w:rPr>
        <w:t>T2</w:t>
      </w:r>
      <w:r w:rsidR="00481F34">
        <w:rPr>
          <w:rFonts w:ascii="Arial" w:eastAsia="Times New Roman" w:hAnsi="Arial" w:cs="Arial"/>
        </w:rPr>
        <w:t>2</w:t>
      </w:r>
      <w:r w:rsidRPr="000A04CB">
        <w:rPr>
          <w:rFonts w:ascii="Arial" w:eastAsia="Times New Roman" w:hAnsi="Arial" w:cs="Arial"/>
        </w:rPr>
        <w:t xml:space="preserve"> apresentou </w:t>
      </w:r>
      <w:r w:rsidRPr="00D87D88">
        <w:rPr>
          <w:rFonts w:ascii="Arial" w:eastAsia="Times New Roman" w:hAnsi="Arial" w:cs="Arial"/>
        </w:rPr>
        <w:t>um</w:t>
      </w:r>
      <w:r w:rsidR="009F228B">
        <w:rPr>
          <w:rFonts w:ascii="Arial" w:eastAsia="Times New Roman" w:hAnsi="Arial" w:cs="Arial"/>
        </w:rPr>
        <w:t xml:space="preserve"> aumento </w:t>
      </w:r>
      <w:r w:rsidRPr="008C44B6">
        <w:rPr>
          <w:rFonts w:ascii="Arial" w:eastAsia="Times New Roman" w:hAnsi="Arial" w:cs="Arial"/>
        </w:rPr>
        <w:t xml:space="preserve">de </w:t>
      </w:r>
      <w:r w:rsidR="004416C9" w:rsidRPr="005F45E3">
        <w:rPr>
          <w:rFonts w:ascii="Arial" w:eastAsia="Times New Roman" w:hAnsi="Arial" w:cs="Arial"/>
        </w:rPr>
        <w:t>3</w:t>
      </w:r>
      <w:r w:rsidR="00952E23" w:rsidRPr="005F45E3">
        <w:rPr>
          <w:rFonts w:ascii="Arial" w:eastAsia="Times New Roman" w:hAnsi="Arial" w:cs="Arial"/>
        </w:rPr>
        <w:t>,</w:t>
      </w:r>
      <w:r w:rsidR="004416C9" w:rsidRPr="005F45E3">
        <w:rPr>
          <w:rFonts w:ascii="Arial" w:eastAsia="Times New Roman" w:hAnsi="Arial" w:cs="Arial"/>
        </w:rPr>
        <w:t>7</w:t>
      </w:r>
      <w:r w:rsidRPr="005F45E3">
        <w:rPr>
          <w:rFonts w:ascii="Arial" w:eastAsia="Times New Roman" w:hAnsi="Arial" w:cs="Arial"/>
        </w:rPr>
        <w:t>%</w:t>
      </w:r>
      <w:r w:rsidRPr="0060187C">
        <w:rPr>
          <w:rFonts w:ascii="Arial" w:eastAsia="Times New Roman" w:hAnsi="Arial" w:cs="Arial"/>
        </w:rPr>
        <w:t xml:space="preserve"> em</w:t>
      </w:r>
      <w:r w:rsidRPr="00D87D88">
        <w:rPr>
          <w:rFonts w:ascii="Arial" w:eastAsia="Times New Roman" w:hAnsi="Arial" w:cs="Arial"/>
        </w:rPr>
        <w:t xml:space="preserve"> comparação</w:t>
      </w:r>
      <w:r w:rsidRPr="000A04CB">
        <w:rPr>
          <w:rFonts w:ascii="Arial" w:eastAsia="Times New Roman" w:hAnsi="Arial" w:cs="Arial"/>
        </w:rPr>
        <w:t xml:space="preserve"> ao </w:t>
      </w:r>
      <w:r w:rsidR="00335FDA">
        <w:rPr>
          <w:rFonts w:ascii="Arial" w:eastAsia="Times New Roman" w:hAnsi="Arial" w:cs="Arial"/>
        </w:rPr>
        <w:t>4</w:t>
      </w:r>
      <w:r w:rsidRPr="000A04CB">
        <w:rPr>
          <w:rFonts w:ascii="Arial" w:eastAsia="Times New Roman" w:hAnsi="Arial" w:cs="Arial"/>
        </w:rPr>
        <w:t>T</w:t>
      </w:r>
      <w:r>
        <w:rPr>
          <w:rFonts w:ascii="Arial" w:eastAsia="Times New Roman" w:hAnsi="Arial" w:cs="Arial"/>
        </w:rPr>
        <w:t>2</w:t>
      </w:r>
      <w:r w:rsidR="00481F34">
        <w:rPr>
          <w:rFonts w:ascii="Arial" w:eastAsia="Times New Roman" w:hAnsi="Arial" w:cs="Arial"/>
        </w:rPr>
        <w:t>1</w:t>
      </w:r>
      <w:r w:rsidRPr="000A04CB">
        <w:rPr>
          <w:rFonts w:ascii="Arial" w:eastAsia="Times New Roman" w:hAnsi="Arial" w:cs="Arial"/>
        </w:rPr>
        <w:t>, conforme demonstrado a seguir:</w:t>
      </w:r>
    </w:p>
    <w:p w14:paraId="44FCEE1C" w14:textId="77777777" w:rsidR="00350C32" w:rsidRPr="00213F73" w:rsidRDefault="00350C32" w:rsidP="00A263FE">
      <w:pPr>
        <w:tabs>
          <w:tab w:val="num" w:pos="-993"/>
        </w:tabs>
        <w:ind w:left="-993" w:right="226"/>
        <w:contextualSpacing/>
        <w:jc w:val="both"/>
        <w:rPr>
          <w:rFonts w:ascii="Arial" w:eastAsia="Times New Roman" w:hAnsi="Arial" w:cs="Arial"/>
        </w:rPr>
      </w:pPr>
    </w:p>
    <w:bookmarkStart w:id="7" w:name="_MON_1603605337"/>
    <w:bookmarkEnd w:id="7"/>
    <w:p w14:paraId="36477978" w14:textId="218F489A" w:rsidR="00350C32" w:rsidRPr="00EC7340" w:rsidRDefault="00B05E0B" w:rsidP="001E4225">
      <w:pPr>
        <w:tabs>
          <w:tab w:val="num" w:pos="-993"/>
          <w:tab w:val="left" w:pos="9639"/>
        </w:tabs>
        <w:ind w:left="-993" w:right="226"/>
        <w:contextualSpacing/>
        <w:jc w:val="both"/>
        <w:rPr>
          <w:rFonts w:ascii="Arial" w:eastAsia="Calibri" w:hAnsi="Arial" w:cs="Arial"/>
          <w:sz w:val="22"/>
          <w:szCs w:val="22"/>
          <w:lang w:eastAsia="en-US"/>
        </w:rPr>
      </w:pPr>
      <w:r w:rsidRPr="00EC7340">
        <w:rPr>
          <w:rFonts w:ascii="Arial" w:eastAsia="Calibri" w:hAnsi="Arial" w:cs="Arial"/>
          <w:sz w:val="22"/>
          <w:szCs w:val="22"/>
          <w:lang w:eastAsia="en-US"/>
        </w:rPr>
        <w:object w:dxaOrig="10377" w:dyaOrig="1949" w14:anchorId="5ABE3453">
          <v:shape id="_x0000_i1031" type="#_x0000_t75" style="width:529.8pt;height:101.9pt" o:ole="">
            <v:imagedata r:id="rId22" o:title=""/>
          </v:shape>
          <o:OLEObject Type="Embed" ProgID="Excel.Sheet.12" ShapeID="_x0000_i1031" DrawAspect="Content" ObjectID="_1737529293" r:id="rId23"/>
        </w:object>
      </w:r>
    </w:p>
    <w:p w14:paraId="33282EDB" w14:textId="77777777" w:rsidR="00481F34" w:rsidRPr="00481F34" w:rsidRDefault="00481F34" w:rsidP="00A263FE">
      <w:pPr>
        <w:tabs>
          <w:tab w:val="num" w:pos="-993"/>
        </w:tabs>
        <w:ind w:left="-993" w:right="226"/>
        <w:contextualSpacing/>
        <w:rPr>
          <w:rFonts w:ascii="Arial" w:eastAsia="Calibri" w:hAnsi="Arial" w:cs="Arial"/>
          <w:sz w:val="10"/>
          <w:szCs w:val="10"/>
          <w:lang w:eastAsia="en-US"/>
        </w:rPr>
      </w:pPr>
    </w:p>
    <w:p w14:paraId="6F0BCD81" w14:textId="5280D2EA" w:rsidR="00350C32" w:rsidRDefault="00350C32" w:rsidP="00A263FE">
      <w:pPr>
        <w:tabs>
          <w:tab w:val="num" w:pos="-993"/>
        </w:tabs>
        <w:ind w:left="-993" w:right="226"/>
        <w:contextualSpacing/>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75A1837B" w14:textId="77777777" w:rsidR="00213F73" w:rsidRPr="004946F5" w:rsidRDefault="00213F73" w:rsidP="00A263FE">
      <w:pPr>
        <w:tabs>
          <w:tab w:val="num" w:pos="-993"/>
        </w:tabs>
        <w:ind w:left="-993" w:right="226"/>
        <w:jc w:val="center"/>
        <w:rPr>
          <w:rFonts w:ascii="Arial" w:eastAsia="Calibri" w:hAnsi="Arial" w:cs="Arial"/>
          <w:b/>
          <w:color w:val="355993"/>
          <w:lang w:eastAsia="en-US"/>
        </w:rPr>
      </w:pPr>
    </w:p>
    <w:p w14:paraId="2C438533" w14:textId="77777777" w:rsidR="00213F73" w:rsidRDefault="00213F73" w:rsidP="00A263FE">
      <w:pPr>
        <w:tabs>
          <w:tab w:val="num" w:pos="-993"/>
        </w:tabs>
        <w:ind w:left="-993" w:right="226"/>
        <w:jc w:val="center"/>
        <w:rPr>
          <w:rFonts w:ascii="Arial" w:eastAsia="Calibri" w:hAnsi="Arial" w:cs="Arial"/>
          <w:b/>
          <w:color w:val="355993"/>
          <w:sz w:val="22"/>
          <w:szCs w:val="22"/>
          <w:lang w:eastAsia="en-US"/>
        </w:rPr>
      </w:pPr>
    </w:p>
    <w:p w14:paraId="72D02456" w14:textId="70FCC5F7" w:rsidR="00350C32" w:rsidRPr="00EC7340" w:rsidRDefault="00350C32" w:rsidP="00A263FE">
      <w:pPr>
        <w:tabs>
          <w:tab w:val="num" w:pos="-993"/>
        </w:tabs>
        <w:ind w:left="-993" w:right="226"/>
        <w:jc w:val="center"/>
        <w:rPr>
          <w:rFonts w:ascii="Arial" w:eastAsia="Calibri" w:hAnsi="Arial" w:cs="Arial"/>
          <w:b/>
          <w:color w:val="355993"/>
          <w:sz w:val="22"/>
          <w:szCs w:val="22"/>
          <w:lang w:eastAsia="en-US"/>
        </w:rPr>
      </w:pPr>
      <w:r w:rsidRPr="00EC7340">
        <w:rPr>
          <w:rFonts w:ascii="Arial" w:eastAsia="Calibri" w:hAnsi="Arial" w:cs="Arial"/>
          <w:b/>
          <w:color w:val="355993"/>
          <w:sz w:val="22"/>
          <w:szCs w:val="22"/>
          <w:lang w:eastAsia="en-US"/>
        </w:rPr>
        <w:t xml:space="preserve">DEMONSTRATIVO DO ÍNDICE DE PERDAS POR LIGAÇÃO </w:t>
      </w:r>
      <w:r>
        <w:rPr>
          <w:rFonts w:ascii="Arial" w:eastAsia="Calibri" w:hAnsi="Arial" w:cs="Arial"/>
          <w:b/>
          <w:color w:val="355993"/>
          <w:sz w:val="22"/>
          <w:szCs w:val="22"/>
          <w:lang w:eastAsia="en-US"/>
        </w:rPr>
        <w:t>*</w:t>
      </w:r>
    </w:p>
    <w:p w14:paraId="360EE922" w14:textId="77777777" w:rsidR="00350C32" w:rsidRPr="00EC7340" w:rsidRDefault="00350C32" w:rsidP="00A263FE">
      <w:pPr>
        <w:tabs>
          <w:tab w:val="num" w:pos="-993"/>
        </w:tabs>
        <w:ind w:left="-993" w:right="226"/>
        <w:jc w:val="center"/>
        <w:rPr>
          <w:rFonts w:ascii="Arial" w:eastAsia="Calibri" w:hAnsi="Arial" w:cs="Arial"/>
          <w:b/>
          <w:color w:val="355993"/>
          <w:sz w:val="22"/>
          <w:szCs w:val="22"/>
          <w:lang w:eastAsia="en-US"/>
        </w:rPr>
      </w:pPr>
    </w:p>
    <w:p w14:paraId="75129AC9" w14:textId="77777777" w:rsidR="00350C32" w:rsidRPr="00D908A5" w:rsidRDefault="00350C32" w:rsidP="00A263FE">
      <w:pPr>
        <w:tabs>
          <w:tab w:val="num" w:pos="-993"/>
        </w:tabs>
        <w:ind w:left="-993" w:right="226"/>
        <w:jc w:val="both"/>
        <w:rPr>
          <w:rFonts w:ascii="Arial" w:hAnsi="Arial" w:cs="Arial"/>
          <w:noProof/>
          <w:sz w:val="20"/>
        </w:rPr>
      </w:pPr>
    </w:p>
    <w:p w14:paraId="65C8FE43" w14:textId="19429C54" w:rsidR="00350C32" w:rsidRPr="00EC7340" w:rsidRDefault="00B716F6" w:rsidP="00A263FE">
      <w:pPr>
        <w:tabs>
          <w:tab w:val="num" w:pos="-993"/>
        </w:tabs>
        <w:ind w:left="-993" w:right="226"/>
        <w:jc w:val="center"/>
        <w:rPr>
          <w:rFonts w:ascii="Arial" w:eastAsia="Calibri" w:hAnsi="Arial" w:cs="Arial"/>
          <w:color w:val="FFFFFF" w:themeColor="background1"/>
          <w:sz w:val="22"/>
          <w:szCs w:val="22"/>
          <w:lang w:eastAsia="en-US"/>
          <w14:textFill>
            <w14:noFill/>
          </w14:textFill>
        </w:rPr>
      </w:pPr>
      <w:r w:rsidRPr="00B716F6">
        <w:rPr>
          <w:rFonts w:ascii="Arial" w:eastAsia="Calibri" w:hAnsi="Arial" w:cs="Arial"/>
          <w:noProof/>
          <w:color w:val="FFFFFF" w:themeColor="background1"/>
          <w:sz w:val="22"/>
          <w:szCs w:val="22"/>
          <w14:textFill>
            <w14:noFill/>
          </w14:textFill>
        </w:rPr>
        <w:drawing>
          <wp:inline distT="0" distB="0" distL="0" distR="0" wp14:anchorId="2B74091A" wp14:editId="1D8DE1F8">
            <wp:extent cx="4163006" cy="2553056"/>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63006" cy="2553056"/>
                    </a:xfrm>
                    <a:prstGeom prst="rect">
                      <a:avLst/>
                    </a:prstGeom>
                  </pic:spPr>
                </pic:pic>
              </a:graphicData>
            </a:graphic>
          </wp:inline>
        </w:drawing>
      </w:r>
    </w:p>
    <w:p w14:paraId="6ACF4A3F" w14:textId="77777777" w:rsidR="00350C32" w:rsidRPr="00EC7340" w:rsidRDefault="00350C32" w:rsidP="00A263FE">
      <w:pPr>
        <w:tabs>
          <w:tab w:val="num" w:pos="-993"/>
        </w:tabs>
        <w:ind w:left="-993" w:right="226"/>
        <w:jc w:val="both"/>
        <w:rPr>
          <w:rFonts w:ascii="Arial" w:eastAsia="Calibri" w:hAnsi="Arial" w:cs="Arial"/>
          <w:color w:val="FFFFFF" w:themeColor="background1"/>
          <w:sz w:val="22"/>
          <w:szCs w:val="22"/>
          <w:lang w:eastAsia="en-US"/>
          <w14:textFill>
            <w14:noFill/>
          </w14:textFill>
        </w:rPr>
      </w:pPr>
    </w:p>
    <w:p w14:paraId="2D604108" w14:textId="550BC9BB" w:rsidR="00350C32" w:rsidRDefault="00350C32" w:rsidP="00A263FE">
      <w:pPr>
        <w:pStyle w:val="PargrafodaLista"/>
        <w:tabs>
          <w:tab w:val="num" w:pos="-993"/>
        </w:tabs>
        <w:ind w:left="-993" w:right="226"/>
        <w:contextualSpacing/>
        <w:rPr>
          <w:rFonts w:ascii="Arial" w:eastAsia="Calibri" w:hAnsi="Arial" w:cs="Arial"/>
          <w:sz w:val="18"/>
          <w:szCs w:val="18"/>
          <w:lang w:eastAsia="en-US"/>
        </w:rPr>
      </w:pPr>
      <w:r>
        <w:rPr>
          <w:rFonts w:ascii="Arial" w:eastAsia="Calibri" w:hAnsi="Arial" w:cs="Arial"/>
          <w:sz w:val="18"/>
          <w:szCs w:val="18"/>
          <w:lang w:eastAsia="en-US"/>
        </w:rPr>
        <w:t xml:space="preserve">* </w:t>
      </w:r>
      <w:r w:rsidRPr="00EF5815">
        <w:rPr>
          <w:rFonts w:ascii="Arial" w:eastAsia="Calibri" w:hAnsi="Arial" w:cs="Arial"/>
          <w:sz w:val="18"/>
          <w:szCs w:val="18"/>
          <w:lang w:eastAsia="en-US"/>
        </w:rPr>
        <w:t xml:space="preserve">Informação não </w:t>
      </w:r>
      <w:r w:rsidR="009F769C">
        <w:rPr>
          <w:rFonts w:ascii="Arial" w:eastAsia="Calibri" w:hAnsi="Arial" w:cs="Arial"/>
          <w:sz w:val="18"/>
          <w:szCs w:val="18"/>
          <w:lang w:eastAsia="en-US"/>
        </w:rPr>
        <w:t xml:space="preserve">auditada ou </w:t>
      </w:r>
      <w:r w:rsidRPr="00EF5815">
        <w:rPr>
          <w:rFonts w:ascii="Arial" w:eastAsia="Calibri" w:hAnsi="Arial" w:cs="Arial"/>
          <w:sz w:val="18"/>
          <w:szCs w:val="18"/>
          <w:lang w:eastAsia="en-US"/>
        </w:rPr>
        <w:t>revisada pelos aud</w:t>
      </w:r>
      <w:r>
        <w:rPr>
          <w:rFonts w:ascii="Arial" w:eastAsia="Calibri" w:hAnsi="Arial" w:cs="Arial"/>
          <w:sz w:val="18"/>
          <w:szCs w:val="18"/>
          <w:lang w:eastAsia="en-US"/>
        </w:rPr>
        <w:t>itores independentes.</w:t>
      </w:r>
    </w:p>
    <w:p w14:paraId="34B2D506" w14:textId="77777777" w:rsidR="00350C32" w:rsidRDefault="00350C32" w:rsidP="00A263FE">
      <w:pPr>
        <w:pStyle w:val="PargrafodaLista"/>
        <w:tabs>
          <w:tab w:val="num" w:pos="-993"/>
        </w:tabs>
        <w:ind w:left="-993" w:right="226"/>
        <w:contextualSpacing/>
        <w:rPr>
          <w:rFonts w:ascii="Arial" w:eastAsia="Calibri" w:hAnsi="Arial" w:cs="Arial"/>
          <w:sz w:val="18"/>
          <w:szCs w:val="18"/>
          <w:lang w:eastAsia="en-US"/>
        </w:rPr>
      </w:pPr>
    </w:p>
    <w:p w14:paraId="4CF445F4" w14:textId="77777777" w:rsidR="00350C32" w:rsidRDefault="00350C32" w:rsidP="00A263FE">
      <w:pPr>
        <w:tabs>
          <w:tab w:val="num" w:pos="-993"/>
        </w:tabs>
        <w:ind w:left="-993" w:right="226"/>
        <w:contextualSpacing/>
        <w:rPr>
          <w:rFonts w:ascii="Arial" w:eastAsia="Calibri" w:hAnsi="Arial" w:cs="Arial"/>
          <w:sz w:val="18"/>
          <w:szCs w:val="18"/>
          <w:lang w:eastAsia="en-US"/>
        </w:rPr>
      </w:pPr>
    </w:p>
    <w:p w14:paraId="522C7795" w14:textId="77777777" w:rsidR="00350C32" w:rsidRPr="00A95E45" w:rsidRDefault="00350C32" w:rsidP="00A263FE">
      <w:pPr>
        <w:pStyle w:val="PargrafodaLista"/>
        <w:tabs>
          <w:tab w:val="num" w:pos="-993"/>
        </w:tabs>
        <w:ind w:left="-993" w:right="226"/>
        <w:contextualSpacing/>
        <w:rPr>
          <w:rFonts w:ascii="Arial" w:eastAsia="Calibri" w:hAnsi="Arial" w:cs="Arial"/>
          <w:sz w:val="18"/>
          <w:szCs w:val="18"/>
          <w:lang w:eastAsia="en-US"/>
        </w:rPr>
      </w:pPr>
    </w:p>
    <w:bookmarkStart w:id="8" w:name="_MON_1603605543"/>
    <w:bookmarkEnd w:id="8"/>
    <w:p w14:paraId="5362CD22" w14:textId="18F0A5FD" w:rsidR="00350C32" w:rsidRDefault="00C317A8" w:rsidP="00A263FE">
      <w:pPr>
        <w:pStyle w:val="PargrafodaLista"/>
        <w:tabs>
          <w:tab w:val="num" w:pos="-993"/>
          <w:tab w:val="left" w:pos="9639"/>
        </w:tabs>
        <w:ind w:left="-993" w:right="226"/>
        <w:jc w:val="both"/>
        <w:rPr>
          <w:rFonts w:ascii="Arial" w:eastAsia="Calibri" w:hAnsi="Arial" w:cs="Arial"/>
          <w:b/>
          <w:color w:val="355993"/>
          <w:sz w:val="22"/>
          <w:szCs w:val="22"/>
          <w:lang w:eastAsia="en-US"/>
        </w:rPr>
      </w:pPr>
      <w:r w:rsidRPr="00EC7340">
        <w:rPr>
          <w:rFonts w:ascii="Arial" w:eastAsia="Calibri" w:hAnsi="Arial" w:cs="Arial"/>
          <w:b/>
          <w:color w:val="355993"/>
          <w:sz w:val="22"/>
          <w:szCs w:val="22"/>
          <w:lang w:eastAsia="en-US"/>
        </w:rPr>
        <w:object w:dxaOrig="10339" w:dyaOrig="3137" w14:anchorId="4DEA38B5">
          <v:shape id="_x0000_i1032" type="#_x0000_t75" style="width:531.15pt;height:147.4pt" o:ole="">
            <v:imagedata r:id="rId25" o:title=""/>
          </v:shape>
          <o:OLEObject Type="Embed" ProgID="Excel.Sheet.12" ShapeID="_x0000_i1032" DrawAspect="Content" ObjectID="_1737529294" r:id="rId26"/>
        </w:object>
      </w:r>
    </w:p>
    <w:p w14:paraId="6F20709C" w14:textId="77777777" w:rsidR="0063120B" w:rsidRPr="009F4622" w:rsidRDefault="0063120B" w:rsidP="0063120B">
      <w:pPr>
        <w:pStyle w:val="PargrafodaLista"/>
        <w:tabs>
          <w:tab w:val="num" w:pos="-993"/>
        </w:tabs>
        <w:ind w:left="-993" w:right="226"/>
        <w:jc w:val="both"/>
        <w:rPr>
          <w:rFonts w:ascii="Arial" w:eastAsia="Calibri" w:hAnsi="Arial" w:cs="Arial"/>
          <w:sz w:val="10"/>
          <w:szCs w:val="10"/>
          <w:lang w:eastAsia="en-US"/>
        </w:rPr>
      </w:pPr>
    </w:p>
    <w:p w14:paraId="4501FD2B" w14:textId="09C6206C" w:rsidR="0063120B" w:rsidRPr="00EC7340" w:rsidRDefault="0063120B" w:rsidP="0063120B">
      <w:pPr>
        <w:pStyle w:val="PargrafodaLista"/>
        <w:tabs>
          <w:tab w:val="num" w:pos="-993"/>
        </w:tabs>
        <w:ind w:left="-993" w:right="226"/>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10647276" w14:textId="13C756F9" w:rsidR="00350C32" w:rsidRDefault="00350C32" w:rsidP="00A263FE">
      <w:pPr>
        <w:pStyle w:val="PargrafodaLista"/>
        <w:tabs>
          <w:tab w:val="num" w:pos="-993"/>
        </w:tabs>
        <w:ind w:left="-993" w:right="226"/>
        <w:jc w:val="both"/>
        <w:rPr>
          <w:rFonts w:ascii="Arial" w:eastAsia="Calibri" w:hAnsi="Arial" w:cs="Arial"/>
          <w:b/>
          <w:color w:val="355993"/>
          <w:sz w:val="22"/>
          <w:szCs w:val="22"/>
          <w:lang w:eastAsia="en-US"/>
        </w:rPr>
      </w:pPr>
    </w:p>
    <w:bookmarkStart w:id="9" w:name="_MON_1603606676"/>
    <w:bookmarkEnd w:id="9"/>
    <w:p w14:paraId="7887DBED" w14:textId="47678ECE" w:rsidR="00350C32" w:rsidRDefault="0040426A" w:rsidP="00A263FE">
      <w:pPr>
        <w:pStyle w:val="PargrafodaLista"/>
        <w:tabs>
          <w:tab w:val="num" w:pos="-993"/>
        </w:tabs>
        <w:ind w:left="-993" w:right="226"/>
        <w:jc w:val="both"/>
        <w:rPr>
          <w:rFonts w:ascii="Arial" w:eastAsia="Calibri" w:hAnsi="Arial" w:cs="Arial"/>
          <w:sz w:val="16"/>
          <w:szCs w:val="16"/>
          <w:lang w:eastAsia="en-US"/>
        </w:rPr>
      </w:pPr>
      <w:r w:rsidRPr="00EC7340">
        <w:rPr>
          <w:rFonts w:ascii="Arial" w:eastAsia="Calibri" w:hAnsi="Arial" w:cs="Arial"/>
          <w:sz w:val="16"/>
          <w:szCs w:val="16"/>
          <w:lang w:eastAsia="en-US"/>
        </w:rPr>
        <w:object w:dxaOrig="10468" w:dyaOrig="1673" w14:anchorId="2D8E4874">
          <v:shape id="_x0000_i1033" type="#_x0000_t75" style="width:531.85pt;height:84.9pt" o:ole="">
            <v:imagedata r:id="rId27" o:title=""/>
          </v:shape>
          <o:OLEObject Type="Embed" ProgID="Excel.Sheet.12" ShapeID="_x0000_i1033" DrawAspect="Content" ObjectID="_1737529295" r:id="rId28"/>
        </w:object>
      </w:r>
    </w:p>
    <w:p w14:paraId="5C5E5755" w14:textId="77777777" w:rsidR="003C7A0A" w:rsidRPr="003C7A0A" w:rsidRDefault="003C7A0A" w:rsidP="00A263FE">
      <w:pPr>
        <w:pStyle w:val="PargrafodaLista"/>
        <w:tabs>
          <w:tab w:val="num" w:pos="-993"/>
        </w:tabs>
        <w:ind w:left="-993" w:right="226"/>
        <w:jc w:val="both"/>
        <w:rPr>
          <w:rFonts w:ascii="Arial" w:eastAsia="Calibri" w:hAnsi="Arial" w:cs="Arial"/>
          <w:sz w:val="10"/>
          <w:szCs w:val="10"/>
          <w:lang w:eastAsia="en-US"/>
        </w:rPr>
      </w:pPr>
    </w:p>
    <w:p w14:paraId="0F0D02BE" w14:textId="2C01CE91" w:rsidR="00350C32" w:rsidRPr="00EC7340" w:rsidRDefault="00350C32" w:rsidP="00A263FE">
      <w:pPr>
        <w:pStyle w:val="PargrafodaLista"/>
        <w:tabs>
          <w:tab w:val="num" w:pos="-993"/>
        </w:tabs>
        <w:ind w:left="-993" w:right="226"/>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37654584" w14:textId="77777777" w:rsidR="008D738A" w:rsidRDefault="008D738A" w:rsidP="00A263FE">
      <w:pPr>
        <w:tabs>
          <w:tab w:val="num" w:pos="-993"/>
        </w:tabs>
        <w:ind w:left="-993" w:right="226"/>
        <w:jc w:val="both"/>
        <w:rPr>
          <w:rFonts w:ascii="Arial" w:eastAsia="Calibri" w:hAnsi="Arial" w:cs="Arial"/>
          <w:b/>
          <w:color w:val="355993"/>
          <w:lang w:eastAsia="en-US"/>
        </w:rPr>
      </w:pPr>
    </w:p>
    <w:p w14:paraId="60A55B13" w14:textId="3BBBECB0" w:rsidR="00350C32" w:rsidRPr="000A04CB" w:rsidRDefault="00350C32" w:rsidP="00A263FE">
      <w:pPr>
        <w:tabs>
          <w:tab w:val="num" w:pos="-993"/>
        </w:tabs>
        <w:ind w:left="-993" w:right="226"/>
        <w:jc w:val="both"/>
        <w:rPr>
          <w:rFonts w:ascii="Arial" w:eastAsia="Calibri" w:hAnsi="Arial" w:cs="Arial"/>
          <w:b/>
          <w:color w:val="355993"/>
          <w:lang w:eastAsia="en-US"/>
        </w:rPr>
      </w:pPr>
      <w:r>
        <w:rPr>
          <w:rFonts w:ascii="Arial" w:eastAsia="Calibri" w:hAnsi="Arial" w:cs="Arial"/>
          <w:b/>
          <w:color w:val="355993"/>
          <w:lang w:eastAsia="en-US"/>
        </w:rPr>
        <w:t>VOLUMES DISPONÍVEIS</w:t>
      </w:r>
    </w:p>
    <w:p w14:paraId="42A3CAEB" w14:textId="77777777" w:rsidR="00350C32" w:rsidRPr="00213F73" w:rsidRDefault="00350C32" w:rsidP="00A263FE">
      <w:pPr>
        <w:tabs>
          <w:tab w:val="num" w:pos="-993"/>
        </w:tabs>
        <w:ind w:left="-993" w:right="226"/>
        <w:jc w:val="both"/>
        <w:rPr>
          <w:rFonts w:ascii="Arial" w:eastAsia="Calibri" w:hAnsi="Arial" w:cs="Arial"/>
          <w:b/>
          <w:color w:val="0033CC"/>
          <w:lang w:eastAsia="en-US"/>
        </w:rPr>
      </w:pPr>
    </w:p>
    <w:p w14:paraId="73BF036B" w14:textId="77777777" w:rsidR="00350C32" w:rsidRPr="008D738A" w:rsidRDefault="00350C32" w:rsidP="00A263FE">
      <w:pPr>
        <w:tabs>
          <w:tab w:val="num" w:pos="-993"/>
        </w:tabs>
        <w:ind w:left="-993" w:right="226"/>
        <w:contextualSpacing/>
        <w:jc w:val="both"/>
        <w:rPr>
          <w:rFonts w:ascii="Arial" w:eastAsia="Times New Roman" w:hAnsi="Arial" w:cs="Arial"/>
        </w:rPr>
      </w:pPr>
      <w:r w:rsidRPr="008D738A">
        <w:rPr>
          <w:rFonts w:ascii="Arial" w:eastAsia="Times New Roman" w:hAnsi="Arial" w:cs="Arial"/>
        </w:rPr>
        <w:t>O volume médio disponível do Sistema de Abastecimento Integrado de Curitiba (SAIC) é composto pelas Barragens Piraquara I, Piraquara II, Iraí e Passaúna.</w:t>
      </w:r>
    </w:p>
    <w:p w14:paraId="01F30BC6" w14:textId="77777777" w:rsidR="00350C32" w:rsidRPr="008D738A" w:rsidRDefault="00350C32" w:rsidP="00A263FE">
      <w:pPr>
        <w:tabs>
          <w:tab w:val="num" w:pos="-993"/>
        </w:tabs>
        <w:ind w:left="-993" w:right="226"/>
        <w:contextualSpacing/>
        <w:jc w:val="both"/>
        <w:rPr>
          <w:rFonts w:ascii="Arial" w:hAnsi="Arial"/>
        </w:rPr>
      </w:pPr>
    </w:p>
    <w:p w14:paraId="64174D9F" w14:textId="77777777" w:rsidR="00350C32" w:rsidRPr="008D738A" w:rsidRDefault="00350C32" w:rsidP="00A263FE">
      <w:pPr>
        <w:tabs>
          <w:tab w:val="num" w:pos="-993"/>
        </w:tabs>
        <w:ind w:left="-993" w:right="226"/>
        <w:contextualSpacing/>
        <w:jc w:val="both"/>
        <w:rPr>
          <w:rFonts w:ascii="Arial" w:eastAsia="Times New Roman" w:hAnsi="Arial" w:cs="Arial"/>
        </w:rPr>
      </w:pPr>
      <w:r w:rsidRPr="008D738A">
        <w:rPr>
          <w:rFonts w:ascii="Arial" w:eastAsia="Times New Roman" w:hAnsi="Arial" w:cs="Arial"/>
        </w:rPr>
        <w:t>No Município de Foz do Iguaçu, a Sanepar utiliza a água da Barragem da Hidrelétrica Itaipu Binacional, do lago de Itaipu, no Rio Paraná.</w:t>
      </w:r>
    </w:p>
    <w:p w14:paraId="7D6A38E1" w14:textId="6F14FF74" w:rsidR="004946F5" w:rsidRDefault="004946F5" w:rsidP="00A263FE">
      <w:pPr>
        <w:tabs>
          <w:tab w:val="num" w:pos="-993"/>
        </w:tabs>
        <w:ind w:left="-993" w:right="226"/>
        <w:contextualSpacing/>
        <w:jc w:val="both"/>
        <w:rPr>
          <w:rFonts w:ascii="Arial" w:hAnsi="Arial"/>
          <w:highlight w:val="yellow"/>
        </w:rPr>
      </w:pPr>
    </w:p>
    <w:p w14:paraId="26DBE407" w14:textId="6A0F7D60" w:rsidR="00350C32" w:rsidRDefault="00350C32" w:rsidP="00A263FE">
      <w:pPr>
        <w:tabs>
          <w:tab w:val="num" w:pos="-993"/>
        </w:tabs>
        <w:ind w:left="-993" w:right="226"/>
        <w:contextualSpacing/>
        <w:jc w:val="both"/>
        <w:rPr>
          <w:rFonts w:ascii="Arial" w:eastAsia="Times New Roman" w:hAnsi="Arial" w:cs="Arial"/>
        </w:rPr>
      </w:pPr>
      <w:r w:rsidRPr="000A35FE">
        <w:rPr>
          <w:rFonts w:ascii="Arial" w:eastAsia="Times New Roman" w:hAnsi="Arial" w:cs="Arial"/>
        </w:rPr>
        <w:t xml:space="preserve">As barragens da Sanepar são consideradas de médio porte quanto ao volume de armazenamento, porém de grande porte devido à altura/profundidade superiores a 15 metros. </w:t>
      </w:r>
      <w:r w:rsidR="00820DDF">
        <w:rPr>
          <w:rFonts w:ascii="Arial" w:eastAsia="Times New Roman" w:hAnsi="Arial" w:cs="Arial"/>
        </w:rPr>
        <w:t>Em 31 de dezembro de 202</w:t>
      </w:r>
      <w:r w:rsidR="001728A4">
        <w:rPr>
          <w:rFonts w:ascii="Arial" w:eastAsia="Times New Roman" w:hAnsi="Arial" w:cs="Arial"/>
        </w:rPr>
        <w:t>2</w:t>
      </w:r>
      <w:r w:rsidRPr="000A35FE">
        <w:rPr>
          <w:rFonts w:ascii="Arial" w:eastAsia="Times New Roman" w:hAnsi="Arial" w:cs="Arial"/>
        </w:rPr>
        <w:t xml:space="preserve">, o volume médio de reservação, estava em </w:t>
      </w:r>
      <w:r w:rsidR="003509CD" w:rsidRPr="003509CD">
        <w:rPr>
          <w:rFonts w:ascii="Arial" w:eastAsia="Times New Roman" w:hAnsi="Arial" w:cs="Arial"/>
        </w:rPr>
        <w:t>99</w:t>
      </w:r>
      <w:r w:rsidRPr="003509CD">
        <w:rPr>
          <w:rFonts w:ascii="Arial" w:eastAsia="Times New Roman" w:hAnsi="Arial" w:cs="Arial"/>
        </w:rPr>
        <w:t>,</w:t>
      </w:r>
      <w:r w:rsidR="003509CD" w:rsidRPr="003509CD">
        <w:rPr>
          <w:rFonts w:ascii="Arial" w:eastAsia="Times New Roman" w:hAnsi="Arial" w:cs="Arial"/>
        </w:rPr>
        <w:t>7</w:t>
      </w:r>
      <w:r w:rsidRPr="003509CD">
        <w:rPr>
          <w:rFonts w:ascii="Arial" w:eastAsia="Times New Roman" w:hAnsi="Arial" w:cs="Arial"/>
        </w:rPr>
        <w:t>%</w:t>
      </w:r>
      <w:r w:rsidR="008A7C39">
        <w:rPr>
          <w:rFonts w:ascii="Arial" w:eastAsia="Times New Roman" w:hAnsi="Arial" w:cs="Arial"/>
        </w:rPr>
        <w:t xml:space="preserve"> (</w:t>
      </w:r>
      <w:r w:rsidR="001728A4">
        <w:rPr>
          <w:rFonts w:ascii="Arial" w:eastAsia="Times New Roman" w:hAnsi="Arial" w:cs="Arial"/>
        </w:rPr>
        <w:t>67</w:t>
      </w:r>
      <w:r w:rsidR="008A7C39">
        <w:rPr>
          <w:rFonts w:ascii="Arial" w:eastAsia="Times New Roman" w:hAnsi="Arial" w:cs="Arial"/>
        </w:rPr>
        <w:t>,</w:t>
      </w:r>
      <w:r w:rsidR="006353A9">
        <w:rPr>
          <w:rFonts w:ascii="Arial" w:eastAsia="Times New Roman" w:hAnsi="Arial" w:cs="Arial"/>
        </w:rPr>
        <w:t>0</w:t>
      </w:r>
      <w:r w:rsidR="008A7C39">
        <w:rPr>
          <w:rFonts w:ascii="Arial" w:eastAsia="Times New Roman" w:hAnsi="Arial" w:cs="Arial"/>
        </w:rPr>
        <w:t xml:space="preserve">% em </w:t>
      </w:r>
      <w:r w:rsidR="00343CCA">
        <w:rPr>
          <w:rFonts w:ascii="Arial" w:eastAsia="Times New Roman" w:hAnsi="Arial" w:cs="Arial"/>
        </w:rPr>
        <w:t>31</w:t>
      </w:r>
      <w:r w:rsidR="008A7C39">
        <w:rPr>
          <w:rFonts w:ascii="Arial" w:eastAsia="Times New Roman" w:hAnsi="Arial" w:cs="Arial"/>
        </w:rPr>
        <w:t>/</w:t>
      </w:r>
      <w:r w:rsidR="00343CCA">
        <w:rPr>
          <w:rFonts w:ascii="Arial" w:eastAsia="Times New Roman" w:hAnsi="Arial" w:cs="Arial"/>
        </w:rPr>
        <w:t>12</w:t>
      </w:r>
      <w:r w:rsidR="008A7C39">
        <w:rPr>
          <w:rFonts w:ascii="Arial" w:eastAsia="Times New Roman" w:hAnsi="Arial" w:cs="Arial"/>
        </w:rPr>
        <w:t>/202</w:t>
      </w:r>
      <w:r w:rsidR="001728A4">
        <w:rPr>
          <w:rFonts w:ascii="Arial" w:eastAsia="Times New Roman" w:hAnsi="Arial" w:cs="Arial"/>
        </w:rPr>
        <w:t>1</w:t>
      </w:r>
      <w:r w:rsidR="008A7C39">
        <w:rPr>
          <w:rFonts w:ascii="Arial" w:eastAsia="Times New Roman" w:hAnsi="Arial" w:cs="Arial"/>
        </w:rPr>
        <w:t>)</w:t>
      </w:r>
      <w:r w:rsidRPr="00917671">
        <w:rPr>
          <w:rFonts w:ascii="Arial" w:eastAsia="Times New Roman" w:hAnsi="Arial" w:cs="Arial"/>
        </w:rPr>
        <w:t>.</w:t>
      </w:r>
    </w:p>
    <w:p w14:paraId="5CC79E82" w14:textId="6D7E18EF" w:rsidR="00350C32" w:rsidRDefault="00350C32" w:rsidP="00A263FE">
      <w:pPr>
        <w:tabs>
          <w:tab w:val="num" w:pos="-993"/>
        </w:tabs>
        <w:ind w:left="-993" w:right="226"/>
        <w:contextualSpacing/>
        <w:jc w:val="both"/>
        <w:rPr>
          <w:rFonts w:ascii="Arial" w:eastAsia="Times New Roman" w:hAnsi="Arial" w:cs="Arial"/>
        </w:rPr>
      </w:pPr>
    </w:p>
    <w:p w14:paraId="198F7B2B" w14:textId="77777777" w:rsidR="00836FF3" w:rsidRDefault="00836FF3" w:rsidP="00A263FE">
      <w:pPr>
        <w:tabs>
          <w:tab w:val="num" w:pos="-993"/>
        </w:tabs>
        <w:ind w:left="-993" w:right="226"/>
        <w:contextualSpacing/>
        <w:jc w:val="both"/>
        <w:rPr>
          <w:rFonts w:ascii="Arial" w:eastAsia="Times New Roman" w:hAnsi="Arial" w:cs="Arial"/>
        </w:rPr>
      </w:pPr>
    </w:p>
    <w:p w14:paraId="7118C361" w14:textId="7035B07A" w:rsidR="00350C32" w:rsidRDefault="0004146B" w:rsidP="00A263FE">
      <w:pPr>
        <w:tabs>
          <w:tab w:val="num" w:pos="-993"/>
        </w:tabs>
        <w:ind w:left="-993" w:right="226"/>
        <w:contextualSpacing/>
        <w:jc w:val="center"/>
        <w:rPr>
          <w:rFonts w:ascii="Arial" w:eastAsia="Calibri" w:hAnsi="Arial" w:cs="Arial"/>
          <w:b/>
          <w:color w:val="355993"/>
          <w:sz w:val="23"/>
          <w:szCs w:val="23"/>
          <w:lang w:eastAsia="en-US"/>
        </w:rPr>
      </w:pPr>
      <w:r w:rsidRPr="0004146B">
        <w:rPr>
          <w:rFonts w:ascii="Arial" w:eastAsia="Calibri" w:hAnsi="Arial" w:cs="Arial"/>
          <w:b/>
          <w:noProof/>
          <w:color w:val="355993"/>
          <w:sz w:val="23"/>
          <w:szCs w:val="23"/>
        </w:rPr>
        <w:drawing>
          <wp:inline distT="0" distB="0" distL="0" distR="0" wp14:anchorId="56C01E5F" wp14:editId="3002D5B3">
            <wp:extent cx="6554338" cy="253403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568962" cy="2539688"/>
                    </a:xfrm>
                    <a:prstGeom prst="rect">
                      <a:avLst/>
                    </a:prstGeom>
                  </pic:spPr>
                </pic:pic>
              </a:graphicData>
            </a:graphic>
          </wp:inline>
        </w:drawing>
      </w:r>
    </w:p>
    <w:p w14:paraId="60A38E9D" w14:textId="77777777" w:rsidR="0063120B" w:rsidRDefault="0063120B" w:rsidP="0063120B">
      <w:pPr>
        <w:pStyle w:val="PargrafodaLista"/>
        <w:tabs>
          <w:tab w:val="num" w:pos="-993"/>
        </w:tabs>
        <w:ind w:left="-993" w:right="226"/>
        <w:jc w:val="both"/>
        <w:rPr>
          <w:rFonts w:ascii="Arial" w:eastAsia="Calibri" w:hAnsi="Arial" w:cs="Arial"/>
          <w:sz w:val="18"/>
          <w:szCs w:val="18"/>
          <w:lang w:eastAsia="en-US"/>
        </w:rPr>
      </w:pPr>
    </w:p>
    <w:p w14:paraId="1CF8FF4D" w14:textId="5421B065" w:rsidR="0063120B" w:rsidRPr="00EC7340" w:rsidRDefault="0063120B" w:rsidP="0063120B">
      <w:pPr>
        <w:pStyle w:val="PargrafodaLista"/>
        <w:tabs>
          <w:tab w:val="num" w:pos="-993"/>
        </w:tabs>
        <w:ind w:left="-993" w:right="226"/>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468CCBF8" w14:textId="0269A59B" w:rsidR="00643431" w:rsidRDefault="00643431" w:rsidP="009F4622">
      <w:pPr>
        <w:tabs>
          <w:tab w:val="num" w:pos="-993"/>
        </w:tabs>
        <w:ind w:left="-993" w:right="226"/>
        <w:contextualSpacing/>
        <w:jc w:val="both"/>
        <w:rPr>
          <w:rFonts w:ascii="Arial" w:eastAsia="Calibri" w:hAnsi="Arial" w:cs="Arial"/>
          <w:b/>
          <w:color w:val="355993"/>
          <w:sz w:val="23"/>
          <w:szCs w:val="23"/>
          <w:lang w:eastAsia="en-US"/>
        </w:rPr>
      </w:pPr>
    </w:p>
    <w:p w14:paraId="2A02CED4" w14:textId="77777777" w:rsidR="001728A4" w:rsidRDefault="001728A4" w:rsidP="009F4622">
      <w:pPr>
        <w:tabs>
          <w:tab w:val="num" w:pos="-993"/>
        </w:tabs>
        <w:ind w:left="-993" w:right="226"/>
        <w:contextualSpacing/>
        <w:jc w:val="both"/>
        <w:rPr>
          <w:rFonts w:ascii="Arial" w:eastAsia="Calibri" w:hAnsi="Arial" w:cs="Arial"/>
          <w:b/>
          <w:color w:val="355993"/>
          <w:sz w:val="23"/>
          <w:szCs w:val="23"/>
          <w:lang w:eastAsia="en-US"/>
        </w:rPr>
      </w:pPr>
    </w:p>
    <w:p w14:paraId="35B4B3FB" w14:textId="77777777" w:rsidR="00213F73" w:rsidRPr="00DC316D" w:rsidRDefault="00213F73" w:rsidP="00A263FE">
      <w:pPr>
        <w:tabs>
          <w:tab w:val="num" w:pos="-993"/>
        </w:tabs>
        <w:ind w:left="-993" w:right="226"/>
        <w:contextualSpacing/>
        <w:jc w:val="both"/>
        <w:rPr>
          <w:rFonts w:ascii="Arial" w:eastAsia="Calibri" w:hAnsi="Arial" w:cs="Arial"/>
          <w:b/>
          <w:color w:val="355993"/>
          <w:sz w:val="2"/>
          <w:szCs w:val="23"/>
          <w:lang w:eastAsia="en-US"/>
        </w:rPr>
      </w:pPr>
    </w:p>
    <w:p w14:paraId="1B91E42A" w14:textId="524464F4" w:rsidR="00350C32" w:rsidRDefault="00350C32" w:rsidP="00A263FE">
      <w:pPr>
        <w:pStyle w:val="Cabealho"/>
        <w:numPr>
          <w:ilvl w:val="0"/>
          <w:numId w:val="1"/>
        </w:numPr>
        <w:tabs>
          <w:tab w:val="clear" w:pos="4419"/>
          <w:tab w:val="clear" w:pos="8838"/>
          <w:tab w:val="num" w:pos="-993"/>
        </w:tabs>
        <w:ind w:left="-993" w:right="226" w:firstLine="0"/>
        <w:rPr>
          <w:rFonts w:ascii="Arial" w:eastAsia="Times New Roman" w:hAnsi="Arial" w:cs="Arial"/>
          <w:b/>
          <w:bCs/>
          <w:color w:val="355993"/>
        </w:rPr>
      </w:pPr>
      <w:r>
        <w:rPr>
          <w:rFonts w:ascii="Arial" w:eastAsia="Times New Roman" w:hAnsi="Arial" w:cs="Arial"/>
          <w:b/>
          <w:bCs/>
          <w:color w:val="355993"/>
        </w:rPr>
        <w:t>D</w:t>
      </w:r>
      <w:r w:rsidRPr="000A04CB">
        <w:rPr>
          <w:rFonts w:ascii="Arial" w:eastAsia="Times New Roman" w:hAnsi="Arial" w:cs="Arial"/>
          <w:b/>
          <w:bCs/>
          <w:color w:val="355993"/>
        </w:rPr>
        <w:t>ADOS FINANCEIROS</w:t>
      </w:r>
    </w:p>
    <w:p w14:paraId="24E1C2D4" w14:textId="77777777" w:rsidR="00DE3B41" w:rsidRPr="00AC5595" w:rsidRDefault="00DE3B41" w:rsidP="00A263FE">
      <w:pPr>
        <w:pStyle w:val="Cabealho"/>
        <w:tabs>
          <w:tab w:val="clear" w:pos="4419"/>
          <w:tab w:val="clear" w:pos="8838"/>
          <w:tab w:val="num" w:pos="-993"/>
        </w:tabs>
        <w:ind w:left="-993" w:right="226"/>
        <w:rPr>
          <w:rFonts w:ascii="Arial" w:eastAsia="Times New Roman" w:hAnsi="Arial" w:cs="Arial"/>
          <w:b/>
          <w:bCs/>
          <w:color w:val="355993"/>
          <w:sz w:val="20"/>
          <w:szCs w:val="20"/>
        </w:rPr>
      </w:pPr>
    </w:p>
    <w:p w14:paraId="396CAA6D" w14:textId="03FBFEDC" w:rsidR="00350C32" w:rsidRDefault="00350C32" w:rsidP="00A263FE">
      <w:pPr>
        <w:pStyle w:val="Cabealho"/>
        <w:tabs>
          <w:tab w:val="clear" w:pos="4419"/>
          <w:tab w:val="clear" w:pos="8838"/>
          <w:tab w:val="num" w:pos="-993"/>
        </w:tabs>
        <w:ind w:left="-993" w:right="226"/>
        <w:rPr>
          <w:rFonts w:ascii="Arial" w:eastAsia="Times New Roman" w:hAnsi="Arial" w:cs="Arial"/>
          <w:b/>
          <w:bCs/>
          <w:color w:val="355993"/>
        </w:rPr>
      </w:pPr>
      <w:r w:rsidRPr="000A04CB">
        <w:rPr>
          <w:rFonts w:ascii="Arial" w:eastAsia="Times New Roman" w:hAnsi="Arial" w:cs="Arial"/>
          <w:b/>
          <w:bCs/>
          <w:color w:val="355993"/>
        </w:rPr>
        <w:t>2.1   DESEMPENHO ECONÔMICO</w:t>
      </w:r>
    </w:p>
    <w:p w14:paraId="62A9DD4F" w14:textId="77777777" w:rsidR="00FE6BAD" w:rsidRPr="000A04CB" w:rsidRDefault="00FE6BAD" w:rsidP="00A263FE">
      <w:pPr>
        <w:pStyle w:val="Cabealho"/>
        <w:tabs>
          <w:tab w:val="clear" w:pos="4419"/>
          <w:tab w:val="clear" w:pos="8838"/>
          <w:tab w:val="num" w:pos="-993"/>
        </w:tabs>
        <w:ind w:left="-993" w:right="226"/>
        <w:rPr>
          <w:rFonts w:ascii="Arial" w:eastAsia="Times New Roman" w:hAnsi="Arial" w:cs="Arial"/>
          <w:b/>
          <w:bCs/>
          <w:color w:val="355993"/>
        </w:rPr>
      </w:pPr>
    </w:p>
    <w:bookmarkStart w:id="10" w:name="_MON_1603607200"/>
    <w:bookmarkEnd w:id="10"/>
    <w:p w14:paraId="6FB0456B" w14:textId="7B2F478E" w:rsidR="00350C32" w:rsidRDefault="00351C31" w:rsidP="00A263FE">
      <w:pPr>
        <w:tabs>
          <w:tab w:val="num" w:pos="-993"/>
        </w:tabs>
        <w:spacing w:after="160" w:line="259" w:lineRule="auto"/>
        <w:ind w:left="-993" w:right="226"/>
        <w:contextualSpacing/>
        <w:rPr>
          <w:rFonts w:ascii="Arial" w:eastAsia="Calibri" w:hAnsi="Arial" w:cs="Arial"/>
          <w:sz w:val="23"/>
          <w:szCs w:val="23"/>
          <w:lang w:eastAsia="en-US"/>
        </w:rPr>
      </w:pPr>
      <w:r w:rsidRPr="00EC7340">
        <w:rPr>
          <w:rFonts w:ascii="Arial" w:eastAsia="Calibri" w:hAnsi="Arial" w:cs="Arial"/>
          <w:b/>
          <w:color w:val="0033CC"/>
          <w:lang w:eastAsia="en-US"/>
        </w:rPr>
        <w:object w:dxaOrig="9908" w:dyaOrig="4124" w14:anchorId="467E55AB">
          <v:shape id="_x0000_i1034" type="#_x0000_t75" style="width:530.5pt;height:222.1pt" o:ole="">
            <v:imagedata r:id="rId30" o:title=""/>
          </v:shape>
          <o:OLEObject Type="Embed" ProgID="Excel.Sheet.12" ShapeID="_x0000_i1034" DrawAspect="Content" ObjectID="_1737529296" r:id="rId31"/>
        </w:object>
      </w:r>
    </w:p>
    <w:p w14:paraId="4E2F737E" w14:textId="77777777" w:rsidR="00FE6BAD" w:rsidRPr="00AC5595" w:rsidRDefault="00FE6BAD" w:rsidP="00A263FE">
      <w:pPr>
        <w:tabs>
          <w:tab w:val="num" w:pos="-993"/>
        </w:tabs>
        <w:ind w:left="-993" w:right="226"/>
        <w:contextualSpacing/>
        <w:jc w:val="both"/>
        <w:rPr>
          <w:rFonts w:ascii="Arial" w:eastAsia="Times New Roman" w:hAnsi="Arial" w:cs="Arial"/>
          <w:sz w:val="20"/>
          <w:szCs w:val="20"/>
        </w:rPr>
      </w:pPr>
    </w:p>
    <w:p w14:paraId="27CD4F53" w14:textId="29B66588" w:rsidR="00AC5595" w:rsidRDefault="00350C32" w:rsidP="00AC5595">
      <w:pPr>
        <w:tabs>
          <w:tab w:val="num" w:pos="-993"/>
        </w:tabs>
        <w:ind w:left="-993" w:right="226"/>
        <w:contextualSpacing/>
        <w:jc w:val="both"/>
        <w:rPr>
          <w:rFonts w:ascii="Arial" w:eastAsia="Times New Roman" w:hAnsi="Arial" w:cs="Arial"/>
        </w:rPr>
      </w:pPr>
      <w:r w:rsidRPr="00FD09E7">
        <w:rPr>
          <w:rFonts w:ascii="Arial" w:eastAsia="Times New Roman" w:hAnsi="Arial" w:cs="Arial"/>
        </w:rPr>
        <w:t xml:space="preserve">A receita operacional líquida </w:t>
      </w:r>
      <w:r w:rsidR="00D51F2D" w:rsidRPr="00FD09E7">
        <w:rPr>
          <w:rFonts w:ascii="Arial" w:eastAsia="Times New Roman" w:hAnsi="Arial" w:cs="Arial"/>
        </w:rPr>
        <w:t xml:space="preserve">aumentou </w:t>
      </w:r>
      <w:r w:rsidR="00FD09E7" w:rsidRPr="00FD09E7">
        <w:rPr>
          <w:rFonts w:ascii="Arial" w:eastAsia="Times New Roman" w:hAnsi="Arial" w:cs="Arial"/>
        </w:rPr>
        <w:t>6,7</w:t>
      </w:r>
      <w:r w:rsidR="00D51F2D" w:rsidRPr="00FD09E7">
        <w:rPr>
          <w:rFonts w:ascii="Arial" w:eastAsia="Times New Roman" w:hAnsi="Arial" w:cs="Arial"/>
        </w:rPr>
        <w:t>%,</w:t>
      </w:r>
      <w:r w:rsidRPr="00FD09E7">
        <w:rPr>
          <w:rFonts w:ascii="Arial" w:eastAsia="Times New Roman" w:hAnsi="Arial" w:cs="Arial"/>
        </w:rPr>
        <w:t xml:space="preserve"> pa</w:t>
      </w:r>
      <w:r w:rsidR="004B0AC3" w:rsidRPr="00FD09E7">
        <w:rPr>
          <w:rFonts w:ascii="Arial" w:eastAsia="Times New Roman" w:hAnsi="Arial" w:cs="Arial"/>
        </w:rPr>
        <w:t>ssando de R$1.</w:t>
      </w:r>
      <w:r w:rsidR="00FD09E7" w:rsidRPr="00FD09E7">
        <w:rPr>
          <w:rFonts w:ascii="Arial" w:eastAsia="Times New Roman" w:hAnsi="Arial" w:cs="Arial"/>
        </w:rPr>
        <w:t>383</w:t>
      </w:r>
      <w:r w:rsidR="004B0AC3" w:rsidRPr="00FD09E7">
        <w:rPr>
          <w:rFonts w:ascii="Arial" w:eastAsia="Times New Roman" w:hAnsi="Arial" w:cs="Arial"/>
        </w:rPr>
        <w:t>,</w:t>
      </w:r>
      <w:r w:rsidR="00FD09E7" w:rsidRPr="00FD09E7">
        <w:rPr>
          <w:rFonts w:ascii="Arial" w:eastAsia="Times New Roman" w:hAnsi="Arial" w:cs="Arial"/>
        </w:rPr>
        <w:t>2</w:t>
      </w:r>
      <w:r w:rsidR="00A2505A" w:rsidRPr="00FD09E7">
        <w:rPr>
          <w:rFonts w:ascii="Arial" w:eastAsia="Times New Roman" w:hAnsi="Arial" w:cs="Arial"/>
        </w:rPr>
        <w:t xml:space="preserve"> milhões no </w:t>
      </w:r>
      <w:r w:rsidR="00FF2935" w:rsidRPr="00FD09E7">
        <w:rPr>
          <w:rFonts w:ascii="Arial" w:eastAsia="Times New Roman" w:hAnsi="Arial" w:cs="Arial"/>
        </w:rPr>
        <w:t>4</w:t>
      </w:r>
      <w:r w:rsidRPr="00FD09E7">
        <w:rPr>
          <w:rFonts w:ascii="Arial" w:eastAsia="Times New Roman" w:hAnsi="Arial" w:cs="Arial"/>
        </w:rPr>
        <w:t>T2</w:t>
      </w:r>
      <w:r w:rsidR="00AC5595" w:rsidRPr="00FD09E7">
        <w:rPr>
          <w:rFonts w:ascii="Arial" w:eastAsia="Times New Roman" w:hAnsi="Arial" w:cs="Arial"/>
        </w:rPr>
        <w:t>1</w:t>
      </w:r>
      <w:r w:rsidRPr="00FD09E7">
        <w:rPr>
          <w:rFonts w:ascii="Arial" w:eastAsia="Times New Roman" w:hAnsi="Arial" w:cs="Arial"/>
        </w:rPr>
        <w:t xml:space="preserve"> para </w:t>
      </w:r>
      <w:r w:rsidRPr="00B0521D">
        <w:rPr>
          <w:rFonts w:ascii="Arial" w:eastAsia="Times New Roman" w:hAnsi="Arial" w:cs="Arial"/>
        </w:rPr>
        <w:t>R$</w:t>
      </w:r>
      <w:r w:rsidR="006B57B9" w:rsidRPr="00B0521D">
        <w:rPr>
          <w:rFonts w:ascii="Arial" w:eastAsia="Times New Roman" w:hAnsi="Arial" w:cs="Arial"/>
        </w:rPr>
        <w:t>1.</w:t>
      </w:r>
      <w:r w:rsidR="00FD09E7" w:rsidRPr="00B0521D">
        <w:rPr>
          <w:rFonts w:ascii="Arial" w:eastAsia="Times New Roman" w:hAnsi="Arial" w:cs="Arial"/>
        </w:rPr>
        <w:t>475</w:t>
      </w:r>
      <w:r w:rsidR="006B57B9" w:rsidRPr="00B0521D">
        <w:rPr>
          <w:rFonts w:ascii="Arial" w:eastAsia="Times New Roman" w:hAnsi="Arial" w:cs="Arial"/>
        </w:rPr>
        <w:t>,2</w:t>
      </w:r>
      <w:r w:rsidRPr="00B0521D">
        <w:rPr>
          <w:rFonts w:ascii="Arial" w:eastAsia="Times New Roman" w:hAnsi="Arial" w:cs="Arial"/>
        </w:rPr>
        <w:t xml:space="preserve"> milhões no </w:t>
      </w:r>
      <w:r w:rsidR="00FF2935" w:rsidRPr="00B0521D">
        <w:rPr>
          <w:rFonts w:ascii="Arial" w:eastAsia="Times New Roman" w:hAnsi="Arial" w:cs="Arial"/>
        </w:rPr>
        <w:t>4</w:t>
      </w:r>
      <w:r w:rsidRPr="00B0521D">
        <w:rPr>
          <w:rFonts w:ascii="Arial" w:eastAsia="Times New Roman" w:hAnsi="Arial" w:cs="Arial"/>
        </w:rPr>
        <w:t>T2</w:t>
      </w:r>
      <w:r w:rsidR="00AC5595" w:rsidRPr="00B0521D">
        <w:rPr>
          <w:rFonts w:ascii="Arial" w:eastAsia="Times New Roman" w:hAnsi="Arial" w:cs="Arial"/>
        </w:rPr>
        <w:t>2</w:t>
      </w:r>
      <w:r w:rsidRPr="00B0521D">
        <w:rPr>
          <w:rFonts w:ascii="Arial" w:eastAsia="Times New Roman" w:hAnsi="Arial" w:cs="Arial"/>
        </w:rPr>
        <w:t>, est</w:t>
      </w:r>
      <w:r w:rsidR="00ED546C" w:rsidRPr="00B0521D">
        <w:rPr>
          <w:rFonts w:ascii="Arial" w:eastAsia="Times New Roman" w:hAnsi="Arial" w:cs="Arial"/>
        </w:rPr>
        <w:t>e</w:t>
      </w:r>
      <w:r w:rsidRPr="00B0521D">
        <w:rPr>
          <w:rFonts w:ascii="Arial" w:eastAsia="Times New Roman" w:hAnsi="Arial" w:cs="Arial"/>
        </w:rPr>
        <w:t xml:space="preserve"> </w:t>
      </w:r>
      <w:r w:rsidR="00ED546C" w:rsidRPr="00B0521D">
        <w:rPr>
          <w:rFonts w:ascii="Arial" w:eastAsia="Times New Roman" w:hAnsi="Arial" w:cs="Arial"/>
        </w:rPr>
        <w:t xml:space="preserve">aumento </w:t>
      </w:r>
      <w:r w:rsidRPr="00B0521D">
        <w:rPr>
          <w:rFonts w:ascii="Arial" w:eastAsia="Times New Roman" w:hAnsi="Arial" w:cs="Arial"/>
        </w:rPr>
        <w:t>é decorrente</w:t>
      </w:r>
      <w:r w:rsidR="001E48B1" w:rsidRPr="00B0521D">
        <w:rPr>
          <w:rFonts w:ascii="Arial" w:eastAsia="Times New Roman" w:hAnsi="Arial" w:cs="Arial"/>
        </w:rPr>
        <w:t xml:space="preserve"> de: </w:t>
      </w:r>
      <w:r w:rsidR="00AC5595" w:rsidRPr="00B0521D">
        <w:rPr>
          <w:rFonts w:ascii="Arial" w:eastAsia="Times New Roman" w:hAnsi="Arial" w:cs="Arial"/>
        </w:rPr>
        <w:t>(i) reajuste tarifário de 4,96% a partir de 17 de maio de 2022; (ii) crescimento dos volumes faturados de água e esgoto; e (iii) do aumento no número de ligações.</w:t>
      </w:r>
      <w:r w:rsidR="00AC5595">
        <w:rPr>
          <w:rFonts w:ascii="Arial" w:eastAsia="Times New Roman" w:hAnsi="Arial" w:cs="Arial"/>
        </w:rPr>
        <w:t xml:space="preserve"> </w:t>
      </w:r>
    </w:p>
    <w:p w14:paraId="74E29EA0" w14:textId="34EC44D4" w:rsidR="00DE3B41" w:rsidRPr="00213F73" w:rsidRDefault="00DE3B41" w:rsidP="00A263FE">
      <w:pPr>
        <w:tabs>
          <w:tab w:val="num" w:pos="-993"/>
        </w:tabs>
        <w:ind w:left="-993" w:right="226"/>
        <w:contextualSpacing/>
        <w:jc w:val="both"/>
        <w:rPr>
          <w:rFonts w:ascii="Arial" w:eastAsia="Times New Roman" w:hAnsi="Arial" w:cs="Arial"/>
        </w:rPr>
      </w:pPr>
    </w:p>
    <w:bookmarkStart w:id="11" w:name="_MON_1603608562"/>
    <w:bookmarkEnd w:id="11"/>
    <w:p w14:paraId="0A11A54B" w14:textId="54680D9B" w:rsidR="00350C32" w:rsidRPr="00EC7340" w:rsidRDefault="00EB1BB5" w:rsidP="00A263FE">
      <w:pPr>
        <w:tabs>
          <w:tab w:val="num" w:pos="-993"/>
        </w:tabs>
        <w:spacing w:line="259" w:lineRule="auto"/>
        <w:ind w:left="-993" w:right="226"/>
        <w:rPr>
          <w:rFonts w:ascii="Arial" w:eastAsia="Calibri" w:hAnsi="Arial" w:cs="Arial"/>
          <w:sz w:val="23"/>
          <w:szCs w:val="23"/>
          <w:lang w:eastAsia="en-US"/>
        </w:rPr>
      </w:pPr>
      <w:r w:rsidRPr="00EC7340">
        <w:rPr>
          <w:rFonts w:ascii="Arial" w:eastAsia="Calibri" w:hAnsi="Arial" w:cs="Arial"/>
          <w:sz w:val="23"/>
          <w:szCs w:val="23"/>
          <w:lang w:eastAsia="en-US"/>
        </w:rPr>
        <w:object w:dxaOrig="10553" w:dyaOrig="5804" w14:anchorId="77A95E8E">
          <v:shape id="_x0000_i1035" type="#_x0000_t75" style="width:532.55pt;height:4in" o:ole="">
            <v:imagedata r:id="rId32" o:title=""/>
          </v:shape>
          <o:OLEObject Type="Embed" ProgID="Excel.Sheet.12" ShapeID="_x0000_i1035" DrawAspect="Content" ObjectID="_1737529297" r:id="rId33"/>
        </w:object>
      </w:r>
    </w:p>
    <w:p w14:paraId="29B51A5F" w14:textId="0805ED5C" w:rsidR="0009188E" w:rsidRDefault="0009188E" w:rsidP="00A263FE">
      <w:pPr>
        <w:tabs>
          <w:tab w:val="num" w:pos="-993"/>
        </w:tabs>
        <w:ind w:left="-993" w:right="226"/>
        <w:contextualSpacing/>
        <w:jc w:val="both"/>
        <w:rPr>
          <w:rFonts w:ascii="Arial" w:eastAsia="Times New Roman" w:hAnsi="Arial" w:cs="Arial"/>
          <w:sz w:val="20"/>
          <w:szCs w:val="20"/>
        </w:rPr>
      </w:pPr>
    </w:p>
    <w:p w14:paraId="666F8A6E" w14:textId="601E9E03" w:rsidR="008C3806" w:rsidRDefault="008C3806" w:rsidP="00A263FE">
      <w:pPr>
        <w:tabs>
          <w:tab w:val="num" w:pos="-993"/>
        </w:tabs>
        <w:ind w:left="-993" w:right="226"/>
        <w:contextualSpacing/>
        <w:jc w:val="both"/>
        <w:rPr>
          <w:rFonts w:ascii="Arial" w:eastAsia="Times New Roman" w:hAnsi="Arial" w:cs="Arial"/>
          <w:sz w:val="20"/>
          <w:szCs w:val="20"/>
        </w:rPr>
      </w:pPr>
    </w:p>
    <w:p w14:paraId="11A0C331" w14:textId="5F6CEA11" w:rsidR="008C3806" w:rsidRDefault="008C3806" w:rsidP="00A263FE">
      <w:pPr>
        <w:tabs>
          <w:tab w:val="num" w:pos="-993"/>
        </w:tabs>
        <w:ind w:left="-993" w:right="226"/>
        <w:contextualSpacing/>
        <w:jc w:val="both"/>
        <w:rPr>
          <w:rFonts w:ascii="Arial" w:eastAsia="Times New Roman" w:hAnsi="Arial" w:cs="Arial"/>
          <w:sz w:val="20"/>
          <w:szCs w:val="20"/>
        </w:rPr>
      </w:pPr>
    </w:p>
    <w:p w14:paraId="705C8203" w14:textId="27F4A640" w:rsidR="008C3806" w:rsidRDefault="008C3806" w:rsidP="00A263FE">
      <w:pPr>
        <w:tabs>
          <w:tab w:val="num" w:pos="-993"/>
        </w:tabs>
        <w:ind w:left="-993" w:right="226"/>
        <w:contextualSpacing/>
        <w:jc w:val="both"/>
        <w:rPr>
          <w:rFonts w:ascii="Arial" w:eastAsia="Times New Roman" w:hAnsi="Arial" w:cs="Arial"/>
          <w:sz w:val="20"/>
          <w:szCs w:val="20"/>
        </w:rPr>
      </w:pPr>
    </w:p>
    <w:p w14:paraId="6F9AB426" w14:textId="77777777" w:rsidR="008C3806" w:rsidRPr="00AC5595" w:rsidRDefault="008C3806" w:rsidP="00A263FE">
      <w:pPr>
        <w:tabs>
          <w:tab w:val="num" w:pos="-993"/>
        </w:tabs>
        <w:ind w:left="-993" w:right="226"/>
        <w:contextualSpacing/>
        <w:jc w:val="both"/>
        <w:rPr>
          <w:rFonts w:ascii="Arial" w:eastAsia="Times New Roman" w:hAnsi="Arial" w:cs="Arial"/>
          <w:sz w:val="20"/>
          <w:szCs w:val="20"/>
        </w:rPr>
      </w:pPr>
    </w:p>
    <w:p w14:paraId="09AAAD72" w14:textId="084C91D4" w:rsidR="00350C32" w:rsidRDefault="00350C32" w:rsidP="00A263FE">
      <w:pPr>
        <w:tabs>
          <w:tab w:val="num" w:pos="-993"/>
        </w:tabs>
        <w:ind w:left="-993" w:right="226"/>
        <w:contextualSpacing/>
        <w:jc w:val="both"/>
        <w:rPr>
          <w:rFonts w:ascii="Arial" w:eastAsia="Times New Roman" w:hAnsi="Arial" w:cs="Arial"/>
        </w:rPr>
      </w:pPr>
      <w:r w:rsidRPr="000A04CB">
        <w:rPr>
          <w:rFonts w:ascii="Arial" w:eastAsia="Times New Roman" w:hAnsi="Arial" w:cs="Arial"/>
        </w:rPr>
        <w:lastRenderedPageBreak/>
        <w:t xml:space="preserve">Os custos e despesas operacionais no </w:t>
      </w:r>
      <w:r w:rsidR="00FF2935">
        <w:rPr>
          <w:rFonts w:ascii="Arial" w:eastAsia="Times New Roman" w:hAnsi="Arial" w:cs="Arial"/>
        </w:rPr>
        <w:t>4</w:t>
      </w:r>
      <w:r w:rsidRPr="000A04CB">
        <w:rPr>
          <w:rFonts w:ascii="Arial" w:eastAsia="Times New Roman" w:hAnsi="Arial" w:cs="Arial"/>
        </w:rPr>
        <w:t>T2</w:t>
      </w:r>
      <w:r w:rsidR="00993F5D">
        <w:rPr>
          <w:rFonts w:ascii="Arial" w:eastAsia="Times New Roman" w:hAnsi="Arial" w:cs="Arial"/>
        </w:rPr>
        <w:t>2</w:t>
      </w:r>
      <w:r w:rsidRPr="000A04CB">
        <w:rPr>
          <w:rFonts w:ascii="Arial" w:eastAsia="Times New Roman" w:hAnsi="Arial" w:cs="Arial"/>
        </w:rPr>
        <w:t xml:space="preserve"> tiveram </w:t>
      </w:r>
      <w:r w:rsidRPr="005C672F">
        <w:rPr>
          <w:rFonts w:ascii="Arial" w:eastAsia="Times New Roman" w:hAnsi="Arial" w:cs="Arial"/>
        </w:rPr>
        <w:t xml:space="preserve">um </w:t>
      </w:r>
      <w:r w:rsidR="005C672F" w:rsidRPr="005C672F">
        <w:rPr>
          <w:rFonts w:ascii="Arial" w:eastAsia="Times New Roman" w:hAnsi="Arial" w:cs="Arial"/>
        </w:rPr>
        <w:t>aumento</w:t>
      </w:r>
      <w:r w:rsidRPr="005C672F">
        <w:rPr>
          <w:rFonts w:ascii="Arial" w:eastAsia="Times New Roman" w:hAnsi="Arial" w:cs="Arial"/>
        </w:rPr>
        <w:t xml:space="preserve"> de </w:t>
      </w:r>
      <w:r w:rsidR="00E30A0A" w:rsidRPr="00E30A0A">
        <w:rPr>
          <w:rFonts w:ascii="Arial" w:eastAsia="Times New Roman" w:hAnsi="Arial" w:cs="Arial"/>
        </w:rPr>
        <w:t>7,8</w:t>
      </w:r>
      <w:r w:rsidRPr="00E30A0A">
        <w:rPr>
          <w:rFonts w:ascii="Arial" w:eastAsia="Times New Roman" w:hAnsi="Arial" w:cs="Arial"/>
        </w:rPr>
        <w:t>%</w:t>
      </w:r>
      <w:r w:rsidRPr="00607FD6">
        <w:rPr>
          <w:rFonts w:ascii="Arial" w:eastAsia="Times New Roman" w:hAnsi="Arial" w:cs="Arial"/>
        </w:rPr>
        <w:t xml:space="preserve"> em</w:t>
      </w:r>
      <w:r w:rsidRPr="000A04CB">
        <w:rPr>
          <w:rFonts w:ascii="Arial" w:eastAsia="Times New Roman" w:hAnsi="Arial" w:cs="Arial"/>
        </w:rPr>
        <w:t xml:space="preserve"> relação ao </w:t>
      </w:r>
      <w:r w:rsidR="00FF2935">
        <w:rPr>
          <w:rFonts w:ascii="Arial" w:eastAsia="Times New Roman" w:hAnsi="Arial" w:cs="Arial"/>
        </w:rPr>
        <w:t>4</w:t>
      </w:r>
      <w:r w:rsidRPr="000A04CB">
        <w:rPr>
          <w:rFonts w:ascii="Arial" w:eastAsia="Times New Roman" w:hAnsi="Arial" w:cs="Arial"/>
        </w:rPr>
        <w:t>T</w:t>
      </w:r>
      <w:r>
        <w:rPr>
          <w:rFonts w:ascii="Arial" w:eastAsia="Times New Roman" w:hAnsi="Arial" w:cs="Arial"/>
        </w:rPr>
        <w:t>2</w:t>
      </w:r>
      <w:r w:rsidR="00993F5D">
        <w:rPr>
          <w:rFonts w:ascii="Arial" w:eastAsia="Times New Roman" w:hAnsi="Arial" w:cs="Arial"/>
        </w:rPr>
        <w:t>1</w:t>
      </w:r>
      <w:r w:rsidRPr="000A04CB">
        <w:rPr>
          <w:rFonts w:ascii="Arial" w:eastAsia="Times New Roman" w:hAnsi="Arial" w:cs="Arial"/>
        </w:rPr>
        <w:t>.</w:t>
      </w:r>
    </w:p>
    <w:p w14:paraId="0A29B380" w14:textId="36DEC475" w:rsidR="00350C32" w:rsidRDefault="00350C32" w:rsidP="00A263FE">
      <w:pPr>
        <w:tabs>
          <w:tab w:val="num" w:pos="-993"/>
        </w:tabs>
        <w:ind w:left="-993" w:right="226"/>
        <w:contextualSpacing/>
        <w:jc w:val="both"/>
        <w:rPr>
          <w:rFonts w:ascii="Arial" w:eastAsia="Times New Roman" w:hAnsi="Arial" w:cs="Arial"/>
        </w:rPr>
      </w:pPr>
      <w:r w:rsidRPr="000A04CB">
        <w:rPr>
          <w:rFonts w:ascii="Arial" w:eastAsia="Times New Roman" w:hAnsi="Arial" w:cs="Arial"/>
        </w:rPr>
        <w:t>As principais variações ocorridas foram em decorrência de:</w:t>
      </w:r>
    </w:p>
    <w:p w14:paraId="1B238B7B" w14:textId="77777777" w:rsidR="00EB1BB5" w:rsidRPr="008C3806" w:rsidRDefault="00EB1BB5" w:rsidP="00A263FE">
      <w:pPr>
        <w:tabs>
          <w:tab w:val="num" w:pos="-993"/>
        </w:tabs>
        <w:ind w:left="-993" w:right="226"/>
        <w:contextualSpacing/>
        <w:jc w:val="both"/>
        <w:rPr>
          <w:rFonts w:ascii="Arial" w:eastAsia="Times New Roman" w:hAnsi="Arial" w:cs="Arial"/>
          <w:sz w:val="8"/>
          <w:szCs w:val="8"/>
        </w:rPr>
      </w:pPr>
    </w:p>
    <w:p w14:paraId="05C5A11E"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Pessoal</w:t>
      </w:r>
    </w:p>
    <w:p w14:paraId="09C2A078" w14:textId="3BDBF7BA" w:rsidR="003637F3" w:rsidRPr="00D358D1" w:rsidRDefault="003637F3" w:rsidP="003637F3">
      <w:pPr>
        <w:tabs>
          <w:tab w:val="num" w:pos="-993"/>
        </w:tabs>
        <w:spacing w:after="160" w:line="259" w:lineRule="auto"/>
        <w:ind w:left="-993" w:right="226"/>
        <w:contextualSpacing/>
        <w:jc w:val="both"/>
        <w:rPr>
          <w:rFonts w:ascii="Arial" w:eastAsia="Calibri" w:hAnsi="Arial" w:cs="Arial"/>
          <w:lang w:eastAsia="en-US"/>
        </w:rPr>
      </w:pPr>
      <w:r w:rsidRPr="000D392A">
        <w:rPr>
          <w:rFonts w:ascii="Arial" w:eastAsia="Calibri" w:hAnsi="Arial" w:cs="Arial"/>
          <w:lang w:eastAsia="en-US"/>
        </w:rPr>
        <w:t>Crescimento de 2</w:t>
      </w:r>
      <w:r w:rsidR="000D392A" w:rsidRPr="000D392A">
        <w:rPr>
          <w:rFonts w:ascii="Arial" w:eastAsia="Calibri" w:hAnsi="Arial" w:cs="Arial"/>
          <w:lang w:eastAsia="en-US"/>
        </w:rPr>
        <w:t>0</w:t>
      </w:r>
      <w:r w:rsidRPr="000D392A">
        <w:rPr>
          <w:rFonts w:ascii="Arial" w:eastAsia="Calibri" w:hAnsi="Arial" w:cs="Arial"/>
          <w:lang w:eastAsia="en-US"/>
        </w:rPr>
        <w:t>,</w:t>
      </w:r>
      <w:r w:rsidR="000D392A" w:rsidRPr="000D392A">
        <w:rPr>
          <w:rFonts w:ascii="Arial" w:eastAsia="Calibri" w:hAnsi="Arial" w:cs="Arial"/>
          <w:lang w:eastAsia="en-US"/>
        </w:rPr>
        <w:t>7</w:t>
      </w:r>
      <w:r w:rsidRPr="00B4779A">
        <w:rPr>
          <w:rFonts w:ascii="Arial" w:eastAsia="Calibri" w:hAnsi="Arial" w:cs="Arial"/>
          <w:lang w:eastAsia="en-US"/>
        </w:rPr>
        <w:t>%, em função de: (i) Reajuste salarial de 10,8% (INPC) sobre as verbas trabalhistas e benefícios referentes ao Acordo Coletivo de Trabalho – ACT 2022/2024 (data base março de 2022); (</w:t>
      </w:r>
      <w:r w:rsidRPr="00D358D1">
        <w:rPr>
          <w:rFonts w:ascii="Arial" w:eastAsia="Calibri" w:hAnsi="Arial" w:cs="Arial"/>
          <w:lang w:eastAsia="en-US"/>
        </w:rPr>
        <w:t xml:space="preserve">ii) Reajuste de 10,5% do SANESAÚDE em junho de 2022; (iii) Indenizações trabalhistas no montante de </w:t>
      </w:r>
      <w:r w:rsidRPr="002E0F5A">
        <w:rPr>
          <w:rFonts w:ascii="Arial" w:eastAsia="Calibri" w:hAnsi="Arial" w:cs="Arial"/>
          <w:lang w:eastAsia="en-US"/>
        </w:rPr>
        <w:t>R$1</w:t>
      </w:r>
      <w:r w:rsidR="002E0F5A" w:rsidRPr="002E0F5A">
        <w:rPr>
          <w:rFonts w:ascii="Arial" w:eastAsia="Calibri" w:hAnsi="Arial" w:cs="Arial"/>
          <w:lang w:eastAsia="en-US"/>
        </w:rPr>
        <w:t>4</w:t>
      </w:r>
      <w:r w:rsidRPr="002E0F5A">
        <w:rPr>
          <w:rFonts w:ascii="Arial" w:eastAsia="Calibri" w:hAnsi="Arial" w:cs="Arial"/>
          <w:lang w:eastAsia="en-US"/>
        </w:rPr>
        <w:t>.</w:t>
      </w:r>
      <w:r w:rsidR="002E0F5A" w:rsidRPr="002E0F5A">
        <w:rPr>
          <w:rFonts w:ascii="Arial" w:eastAsia="Calibri" w:hAnsi="Arial" w:cs="Arial"/>
          <w:lang w:eastAsia="en-US"/>
        </w:rPr>
        <w:t>984</w:t>
      </w:r>
      <w:r w:rsidRPr="002E0F5A">
        <w:rPr>
          <w:rFonts w:ascii="Arial" w:eastAsia="Calibri" w:hAnsi="Arial" w:cs="Arial"/>
          <w:lang w:eastAsia="en-US"/>
        </w:rPr>
        <w:t>;</w:t>
      </w:r>
      <w:r w:rsidRPr="00D358D1">
        <w:rPr>
          <w:rFonts w:ascii="Arial" w:eastAsia="Calibri" w:hAnsi="Arial" w:cs="Arial"/>
          <w:lang w:eastAsia="en-US"/>
        </w:rPr>
        <w:t xml:space="preserve"> e (iv) provisão do abono indenizatório no montante de  </w:t>
      </w:r>
      <w:r w:rsidRPr="003637F3">
        <w:rPr>
          <w:rFonts w:ascii="Arial" w:eastAsia="Calibri" w:hAnsi="Arial" w:cs="Arial"/>
          <w:highlight w:val="yellow"/>
          <w:lang w:eastAsia="en-US"/>
        </w:rPr>
        <w:t xml:space="preserve">            </w:t>
      </w:r>
      <w:r w:rsidRPr="002E0F5A">
        <w:rPr>
          <w:rFonts w:ascii="Arial" w:eastAsia="Calibri" w:hAnsi="Arial" w:cs="Arial"/>
          <w:lang w:eastAsia="en-US"/>
        </w:rPr>
        <w:t>R$ 2</w:t>
      </w:r>
      <w:r w:rsidR="002E0F5A" w:rsidRPr="002E0F5A">
        <w:rPr>
          <w:rFonts w:ascii="Arial" w:eastAsia="Calibri" w:hAnsi="Arial" w:cs="Arial"/>
          <w:lang w:eastAsia="en-US"/>
        </w:rPr>
        <w:t>7</w:t>
      </w:r>
      <w:r w:rsidRPr="002E0F5A">
        <w:rPr>
          <w:rFonts w:ascii="Arial" w:eastAsia="Calibri" w:hAnsi="Arial" w:cs="Arial"/>
          <w:lang w:eastAsia="en-US"/>
        </w:rPr>
        <w:t>.</w:t>
      </w:r>
      <w:r w:rsidR="002E0F5A" w:rsidRPr="002E0F5A">
        <w:rPr>
          <w:rFonts w:ascii="Arial" w:eastAsia="Calibri" w:hAnsi="Arial" w:cs="Arial"/>
          <w:lang w:eastAsia="en-US"/>
        </w:rPr>
        <w:t>212</w:t>
      </w:r>
      <w:r w:rsidRPr="00D358D1">
        <w:rPr>
          <w:rFonts w:ascii="Arial" w:eastAsia="Calibri" w:hAnsi="Arial" w:cs="Arial"/>
          <w:lang w:eastAsia="en-US"/>
        </w:rPr>
        <w:t xml:space="preserve">, reconhecidas no </w:t>
      </w:r>
      <w:r w:rsidR="00D358D1">
        <w:rPr>
          <w:rFonts w:ascii="Arial" w:eastAsia="Calibri" w:hAnsi="Arial" w:cs="Arial"/>
          <w:lang w:eastAsia="en-US"/>
        </w:rPr>
        <w:t>4</w:t>
      </w:r>
      <w:r w:rsidRPr="00D358D1">
        <w:rPr>
          <w:rFonts w:ascii="Arial" w:eastAsia="Calibri" w:hAnsi="Arial" w:cs="Arial"/>
          <w:lang w:eastAsia="en-US"/>
        </w:rPr>
        <w:t>T22.</w:t>
      </w:r>
    </w:p>
    <w:p w14:paraId="0A92C149" w14:textId="77777777" w:rsidR="003637F3" w:rsidRPr="008C3806" w:rsidRDefault="003637F3" w:rsidP="003637F3">
      <w:pPr>
        <w:tabs>
          <w:tab w:val="num" w:pos="-993"/>
        </w:tabs>
        <w:ind w:left="-993" w:right="226"/>
        <w:contextualSpacing/>
        <w:jc w:val="both"/>
        <w:rPr>
          <w:rFonts w:ascii="Arial" w:eastAsia="Times New Roman" w:hAnsi="Arial" w:cs="Arial"/>
          <w:sz w:val="8"/>
          <w:szCs w:val="8"/>
        </w:rPr>
      </w:pPr>
    </w:p>
    <w:p w14:paraId="3B0DCF02"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Materiais</w:t>
      </w:r>
    </w:p>
    <w:p w14:paraId="1BCB5021" w14:textId="3C47BC4B" w:rsidR="003637F3" w:rsidRPr="00A74E35" w:rsidRDefault="003637F3" w:rsidP="003637F3">
      <w:pPr>
        <w:tabs>
          <w:tab w:val="num" w:pos="-993"/>
        </w:tabs>
        <w:spacing w:after="160" w:line="259" w:lineRule="auto"/>
        <w:ind w:left="-993" w:right="226"/>
        <w:contextualSpacing/>
        <w:jc w:val="both"/>
        <w:rPr>
          <w:rFonts w:ascii="Arial" w:eastAsia="Calibri" w:hAnsi="Arial" w:cs="Arial"/>
          <w:lang w:eastAsia="en-US"/>
        </w:rPr>
      </w:pPr>
      <w:r w:rsidRPr="00A74E35">
        <w:rPr>
          <w:rFonts w:ascii="Arial" w:eastAsia="Calibri" w:hAnsi="Arial" w:cs="Arial"/>
          <w:lang w:eastAsia="en-US"/>
        </w:rPr>
        <w:t xml:space="preserve">Acréscimo de </w:t>
      </w:r>
      <w:r w:rsidR="000D392A" w:rsidRPr="00A74E35">
        <w:rPr>
          <w:rFonts w:ascii="Arial" w:eastAsia="Calibri" w:hAnsi="Arial" w:cs="Arial"/>
          <w:lang w:eastAsia="en-US"/>
        </w:rPr>
        <w:t>28</w:t>
      </w:r>
      <w:r w:rsidRPr="00A74E35">
        <w:rPr>
          <w:rFonts w:ascii="Arial" w:eastAsia="Calibri" w:hAnsi="Arial" w:cs="Arial"/>
          <w:lang w:eastAsia="en-US"/>
        </w:rPr>
        <w:t>,</w:t>
      </w:r>
      <w:r w:rsidR="000D392A" w:rsidRPr="00A74E35">
        <w:rPr>
          <w:rFonts w:ascii="Arial" w:eastAsia="Calibri" w:hAnsi="Arial" w:cs="Arial"/>
          <w:lang w:eastAsia="en-US"/>
        </w:rPr>
        <w:t>6</w:t>
      </w:r>
      <w:r w:rsidRPr="00A74E35">
        <w:rPr>
          <w:rFonts w:ascii="Arial" w:eastAsia="Calibri" w:hAnsi="Arial" w:cs="Arial"/>
          <w:lang w:eastAsia="en-US"/>
        </w:rPr>
        <w:t>%</w:t>
      </w:r>
      <w:r w:rsidR="000D392A" w:rsidRPr="00A74E35">
        <w:rPr>
          <w:rFonts w:ascii="Arial" w:eastAsia="Calibri" w:hAnsi="Arial" w:cs="Arial"/>
          <w:lang w:eastAsia="en-US"/>
        </w:rPr>
        <w:t>,</w:t>
      </w:r>
      <w:r w:rsidRPr="00A74E35">
        <w:rPr>
          <w:rFonts w:ascii="Arial" w:eastAsia="Calibri" w:hAnsi="Arial" w:cs="Arial"/>
          <w:lang w:eastAsia="en-US"/>
        </w:rPr>
        <w:t xml:space="preserve"> principalmente em material de tratamento que representa </w:t>
      </w:r>
      <w:r w:rsidR="00A74E35" w:rsidRPr="00A74E35">
        <w:rPr>
          <w:rFonts w:ascii="Arial" w:eastAsia="Calibri" w:hAnsi="Arial" w:cs="Arial"/>
          <w:lang w:eastAsia="en-US"/>
        </w:rPr>
        <w:t>70</w:t>
      </w:r>
      <w:r w:rsidRPr="00A74E35">
        <w:rPr>
          <w:rFonts w:ascii="Arial" w:eastAsia="Calibri" w:hAnsi="Arial" w:cs="Arial"/>
          <w:lang w:eastAsia="en-US"/>
        </w:rPr>
        <w:t>,</w:t>
      </w:r>
      <w:r w:rsidR="00A74E35" w:rsidRPr="00A74E35">
        <w:rPr>
          <w:rFonts w:ascii="Arial" w:eastAsia="Calibri" w:hAnsi="Arial" w:cs="Arial"/>
          <w:lang w:eastAsia="en-US"/>
        </w:rPr>
        <w:t>0</w:t>
      </w:r>
      <w:r w:rsidRPr="00A74E35">
        <w:rPr>
          <w:rFonts w:ascii="Arial" w:eastAsia="Calibri" w:hAnsi="Arial" w:cs="Arial"/>
          <w:lang w:eastAsia="en-US"/>
        </w:rPr>
        <w:t xml:space="preserve">% do total dos gastos com materiais no trimestre. Outros materiais também impactaram, tais como: </w:t>
      </w:r>
      <w:r w:rsidR="00A74E35" w:rsidRPr="00A74E35">
        <w:rPr>
          <w:rFonts w:ascii="Arial" w:eastAsia="Calibri" w:hAnsi="Arial" w:cs="Arial"/>
          <w:lang w:eastAsia="en-US"/>
        </w:rPr>
        <w:t>material de operação de sistemas,</w:t>
      </w:r>
      <w:r w:rsidRPr="00A74E35">
        <w:rPr>
          <w:rFonts w:ascii="Arial" w:eastAsia="Calibri" w:hAnsi="Arial" w:cs="Arial"/>
          <w:lang w:eastAsia="en-US"/>
        </w:rPr>
        <w:t xml:space="preserve"> material de limpeza e higiene, </w:t>
      </w:r>
      <w:r w:rsidR="00A74E35" w:rsidRPr="00A74E35">
        <w:rPr>
          <w:rFonts w:ascii="Arial" w:eastAsia="Calibri" w:hAnsi="Arial" w:cs="Arial"/>
          <w:lang w:eastAsia="en-US"/>
        </w:rPr>
        <w:t>material de manutenção eletromecânica e material de manutenção de redes</w:t>
      </w:r>
      <w:r w:rsidRPr="00A74E35">
        <w:rPr>
          <w:rFonts w:ascii="Arial" w:eastAsia="Calibri" w:hAnsi="Arial" w:cs="Arial"/>
          <w:lang w:eastAsia="en-US"/>
        </w:rPr>
        <w:t>.</w:t>
      </w:r>
    </w:p>
    <w:p w14:paraId="61CDB1A4" w14:textId="77777777" w:rsidR="003637F3" w:rsidRPr="008C3806" w:rsidRDefault="003637F3" w:rsidP="00674757">
      <w:pPr>
        <w:tabs>
          <w:tab w:val="num" w:pos="-993"/>
        </w:tabs>
        <w:ind w:left="-993" w:right="226"/>
        <w:contextualSpacing/>
        <w:jc w:val="both"/>
        <w:rPr>
          <w:rFonts w:ascii="Arial" w:eastAsia="Times New Roman" w:hAnsi="Arial" w:cs="Arial"/>
          <w:sz w:val="8"/>
          <w:szCs w:val="8"/>
        </w:rPr>
      </w:pPr>
    </w:p>
    <w:p w14:paraId="2B24CE80"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Energia Elétrica</w:t>
      </w:r>
    </w:p>
    <w:p w14:paraId="3E12C9E2" w14:textId="29CB7F84" w:rsidR="003637F3" w:rsidRPr="003637F3" w:rsidRDefault="003637F3" w:rsidP="003637F3">
      <w:pPr>
        <w:tabs>
          <w:tab w:val="num" w:pos="-993"/>
        </w:tabs>
        <w:ind w:left="-993" w:right="226"/>
        <w:contextualSpacing/>
        <w:jc w:val="both"/>
        <w:rPr>
          <w:rFonts w:ascii="Arial" w:eastAsia="Calibri" w:hAnsi="Arial" w:cs="Arial"/>
          <w:highlight w:val="yellow"/>
          <w:lang w:eastAsia="en-US"/>
        </w:rPr>
      </w:pPr>
      <w:r w:rsidRPr="00046342">
        <w:rPr>
          <w:rFonts w:ascii="Arial" w:eastAsia="Calibri" w:hAnsi="Arial" w:cs="Arial"/>
          <w:lang w:eastAsia="en-US"/>
        </w:rPr>
        <w:t xml:space="preserve">Redução de </w:t>
      </w:r>
      <w:r w:rsidR="000D392A" w:rsidRPr="00046342">
        <w:rPr>
          <w:rFonts w:ascii="Arial" w:eastAsia="Calibri" w:hAnsi="Arial" w:cs="Arial"/>
          <w:lang w:eastAsia="en-US"/>
        </w:rPr>
        <w:t>37</w:t>
      </w:r>
      <w:r w:rsidRPr="00046342">
        <w:rPr>
          <w:rFonts w:ascii="Arial" w:eastAsia="Calibri" w:hAnsi="Arial" w:cs="Arial"/>
          <w:lang w:eastAsia="en-US"/>
        </w:rPr>
        <w:t>,7%</w:t>
      </w:r>
      <w:r w:rsidRPr="000D392A">
        <w:rPr>
          <w:rFonts w:ascii="Arial" w:eastAsia="Calibri" w:hAnsi="Arial" w:cs="Arial"/>
          <w:lang w:eastAsia="en-US"/>
        </w:rPr>
        <w:t xml:space="preserve"> </w:t>
      </w:r>
      <w:r w:rsidRPr="00B4779A">
        <w:rPr>
          <w:rFonts w:ascii="Arial" w:eastAsia="Calibri" w:hAnsi="Arial" w:cs="Arial"/>
          <w:lang w:eastAsia="en-US"/>
        </w:rPr>
        <w:t>decorrente, principalmente pela redução da alíquota de ICMS de 29% para 18% sobre as faturas de energia elétrica, suavizada pela redução de 3% no subsídio aplicado nas unidades consumidoras que usufruíam do desconto para saneamento, passando de 6% para 3% e pelo reflexo do reajuste tarifário médio de 4,90% aplicado a partir de 24/06/2022.</w:t>
      </w:r>
    </w:p>
    <w:p w14:paraId="71D7C495" w14:textId="77777777" w:rsidR="003637F3" w:rsidRPr="008C3806" w:rsidRDefault="003637F3" w:rsidP="003637F3">
      <w:pPr>
        <w:tabs>
          <w:tab w:val="num" w:pos="-993"/>
        </w:tabs>
        <w:ind w:left="-993" w:right="226"/>
        <w:contextualSpacing/>
        <w:jc w:val="both"/>
        <w:rPr>
          <w:rFonts w:ascii="Arial" w:eastAsia="Times New Roman" w:hAnsi="Arial" w:cs="Arial"/>
          <w:sz w:val="8"/>
          <w:szCs w:val="8"/>
        </w:rPr>
      </w:pPr>
    </w:p>
    <w:p w14:paraId="7D9D6E07"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Serviços de Terceiros</w:t>
      </w:r>
    </w:p>
    <w:p w14:paraId="1B9303F2" w14:textId="52ED25E5" w:rsidR="003637F3" w:rsidRPr="00380797" w:rsidRDefault="00147359" w:rsidP="003637F3">
      <w:pPr>
        <w:tabs>
          <w:tab w:val="num" w:pos="-993"/>
        </w:tabs>
        <w:spacing w:after="160" w:line="259" w:lineRule="auto"/>
        <w:ind w:left="-993" w:right="226"/>
        <w:contextualSpacing/>
        <w:jc w:val="both"/>
        <w:rPr>
          <w:rFonts w:ascii="Arial" w:eastAsia="Calibri" w:hAnsi="Arial" w:cs="Arial"/>
          <w:highlight w:val="cyan"/>
          <w:lang w:eastAsia="en-US"/>
        </w:rPr>
      </w:pPr>
      <w:r w:rsidRPr="0093352E">
        <w:rPr>
          <w:rFonts w:ascii="Arial" w:eastAsia="Calibri" w:hAnsi="Arial" w:cs="Arial"/>
          <w:lang w:eastAsia="en-US"/>
        </w:rPr>
        <w:t>Redução</w:t>
      </w:r>
      <w:r w:rsidR="003637F3" w:rsidRPr="0093352E">
        <w:rPr>
          <w:rFonts w:ascii="Arial" w:eastAsia="Calibri" w:hAnsi="Arial" w:cs="Arial"/>
          <w:lang w:eastAsia="en-US"/>
        </w:rPr>
        <w:t xml:space="preserve"> de </w:t>
      </w:r>
      <w:r w:rsidRPr="0093352E">
        <w:rPr>
          <w:rFonts w:ascii="Arial" w:eastAsia="Calibri" w:hAnsi="Arial" w:cs="Arial"/>
          <w:lang w:eastAsia="en-US"/>
        </w:rPr>
        <w:t>7</w:t>
      </w:r>
      <w:r w:rsidR="003637F3" w:rsidRPr="0093352E">
        <w:rPr>
          <w:rFonts w:ascii="Arial" w:eastAsia="Calibri" w:hAnsi="Arial" w:cs="Arial"/>
          <w:lang w:eastAsia="en-US"/>
        </w:rPr>
        <w:t>,</w:t>
      </w:r>
      <w:r w:rsidRPr="0093352E">
        <w:rPr>
          <w:rFonts w:ascii="Arial" w:eastAsia="Calibri" w:hAnsi="Arial" w:cs="Arial"/>
          <w:lang w:eastAsia="en-US"/>
        </w:rPr>
        <w:t>3</w:t>
      </w:r>
      <w:r w:rsidR="003637F3" w:rsidRPr="008650D9">
        <w:rPr>
          <w:rFonts w:ascii="Arial" w:eastAsia="Calibri" w:hAnsi="Arial" w:cs="Arial"/>
          <w:lang w:eastAsia="en-US"/>
        </w:rPr>
        <w:t>%</w:t>
      </w:r>
      <w:r w:rsidR="0093352E" w:rsidRPr="008650D9">
        <w:rPr>
          <w:rFonts w:ascii="Arial" w:eastAsia="Calibri" w:hAnsi="Arial" w:cs="Arial"/>
          <w:lang w:eastAsia="en-US"/>
        </w:rPr>
        <w:t>,</w:t>
      </w:r>
      <w:r w:rsidR="003637F3" w:rsidRPr="008650D9">
        <w:rPr>
          <w:rFonts w:ascii="Arial" w:eastAsia="Calibri" w:hAnsi="Arial" w:cs="Arial"/>
          <w:lang w:eastAsia="en-US"/>
        </w:rPr>
        <w:t xml:space="preserve"> principalmente em serviços de </w:t>
      </w:r>
      <w:r w:rsidR="008650D9" w:rsidRPr="008650D9">
        <w:rPr>
          <w:rFonts w:ascii="Arial" w:eastAsia="Calibri" w:hAnsi="Arial" w:cs="Arial"/>
          <w:lang w:eastAsia="en-US"/>
        </w:rPr>
        <w:t>manutenção predial e de sistemas, serviços técnicos profissionais, serviços de veiculação, publicidade e propaganda, tarifas bancárias e serviços de manutenção de veículos</w:t>
      </w:r>
      <w:r w:rsidR="003637F3" w:rsidRPr="008650D9">
        <w:rPr>
          <w:rFonts w:ascii="Arial" w:eastAsia="Calibri" w:hAnsi="Arial" w:cs="Arial"/>
          <w:lang w:eastAsia="en-US"/>
        </w:rPr>
        <w:t>.</w:t>
      </w:r>
    </w:p>
    <w:p w14:paraId="720B2910" w14:textId="77777777" w:rsidR="003637F3" w:rsidRPr="008C3806" w:rsidRDefault="003637F3" w:rsidP="00674757">
      <w:pPr>
        <w:tabs>
          <w:tab w:val="num" w:pos="-993"/>
        </w:tabs>
        <w:ind w:left="-993" w:right="226"/>
        <w:contextualSpacing/>
        <w:jc w:val="both"/>
        <w:rPr>
          <w:rFonts w:ascii="Arial" w:eastAsia="Times New Roman" w:hAnsi="Arial" w:cs="Arial"/>
          <w:sz w:val="8"/>
          <w:szCs w:val="8"/>
        </w:rPr>
      </w:pPr>
    </w:p>
    <w:p w14:paraId="313335F6"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Depreciações e Amortizações</w:t>
      </w:r>
    </w:p>
    <w:p w14:paraId="14A9EE9E" w14:textId="1E6F1F64" w:rsidR="003637F3" w:rsidRPr="009A24A9" w:rsidRDefault="003637F3" w:rsidP="003637F3">
      <w:pPr>
        <w:tabs>
          <w:tab w:val="num" w:pos="-993"/>
        </w:tabs>
        <w:spacing w:after="160" w:line="259" w:lineRule="auto"/>
        <w:ind w:left="-993" w:right="226"/>
        <w:contextualSpacing/>
        <w:jc w:val="both"/>
        <w:rPr>
          <w:rFonts w:ascii="Arial" w:eastAsia="Calibri" w:hAnsi="Arial" w:cs="Arial"/>
          <w:lang w:eastAsia="en-US"/>
        </w:rPr>
      </w:pPr>
      <w:r w:rsidRPr="009A24A9">
        <w:rPr>
          <w:rFonts w:ascii="Arial" w:eastAsia="Calibri" w:hAnsi="Arial" w:cs="Arial"/>
          <w:lang w:eastAsia="en-US"/>
        </w:rPr>
        <w:t xml:space="preserve">Acréscimo de </w:t>
      </w:r>
      <w:r w:rsidR="00A16C03" w:rsidRPr="009A24A9">
        <w:rPr>
          <w:rFonts w:ascii="Arial" w:eastAsia="Calibri" w:hAnsi="Arial" w:cs="Arial"/>
          <w:lang w:eastAsia="en-US"/>
        </w:rPr>
        <w:t>12</w:t>
      </w:r>
      <w:r w:rsidRPr="009A24A9">
        <w:rPr>
          <w:rFonts w:ascii="Arial" w:eastAsia="Calibri" w:hAnsi="Arial" w:cs="Arial"/>
          <w:lang w:eastAsia="en-US"/>
        </w:rPr>
        <w:t>,</w:t>
      </w:r>
      <w:r w:rsidR="00A16C03" w:rsidRPr="009A24A9">
        <w:rPr>
          <w:rFonts w:ascii="Arial" w:eastAsia="Calibri" w:hAnsi="Arial" w:cs="Arial"/>
          <w:lang w:eastAsia="en-US"/>
        </w:rPr>
        <w:t>1</w:t>
      </w:r>
      <w:r w:rsidRPr="009A24A9">
        <w:rPr>
          <w:rFonts w:ascii="Arial" w:eastAsia="Calibri" w:hAnsi="Arial" w:cs="Arial"/>
          <w:lang w:eastAsia="en-US"/>
        </w:rPr>
        <w:t xml:space="preserve">%, principalmente pela entrada em operação de ativos intangíveis e/ou imobilizados, no período de </w:t>
      </w:r>
      <w:r w:rsidR="009A24A9" w:rsidRPr="009A24A9">
        <w:rPr>
          <w:rFonts w:ascii="Arial" w:eastAsia="Calibri" w:hAnsi="Arial" w:cs="Arial"/>
          <w:lang w:eastAsia="en-US"/>
        </w:rPr>
        <w:t>janeiro</w:t>
      </w:r>
      <w:r w:rsidRPr="009A24A9">
        <w:rPr>
          <w:rFonts w:ascii="Arial" w:eastAsia="Calibri" w:hAnsi="Arial" w:cs="Arial"/>
          <w:lang w:eastAsia="en-US"/>
        </w:rPr>
        <w:t xml:space="preserve"> de 202</w:t>
      </w:r>
      <w:r w:rsidR="009A24A9" w:rsidRPr="009A24A9">
        <w:rPr>
          <w:rFonts w:ascii="Arial" w:eastAsia="Calibri" w:hAnsi="Arial" w:cs="Arial"/>
          <w:lang w:eastAsia="en-US"/>
        </w:rPr>
        <w:t>2</w:t>
      </w:r>
      <w:r w:rsidRPr="009A24A9">
        <w:rPr>
          <w:rFonts w:ascii="Arial" w:eastAsia="Calibri" w:hAnsi="Arial" w:cs="Arial"/>
          <w:lang w:eastAsia="en-US"/>
        </w:rPr>
        <w:t xml:space="preserve"> a </w:t>
      </w:r>
      <w:r w:rsidR="00A16C03" w:rsidRPr="009A24A9">
        <w:rPr>
          <w:rFonts w:ascii="Arial" w:eastAsia="Calibri" w:hAnsi="Arial" w:cs="Arial"/>
          <w:lang w:eastAsia="en-US"/>
        </w:rPr>
        <w:t>dezembro</w:t>
      </w:r>
      <w:r w:rsidRPr="009A24A9">
        <w:rPr>
          <w:rFonts w:ascii="Arial" w:eastAsia="Calibri" w:hAnsi="Arial" w:cs="Arial"/>
          <w:lang w:eastAsia="en-US"/>
        </w:rPr>
        <w:t xml:space="preserve"> de 2022, no montante de R$9</w:t>
      </w:r>
      <w:r w:rsidR="009A24A9" w:rsidRPr="009A24A9">
        <w:rPr>
          <w:rFonts w:ascii="Arial" w:eastAsia="Calibri" w:hAnsi="Arial" w:cs="Arial"/>
          <w:lang w:eastAsia="en-US"/>
        </w:rPr>
        <w:t>46</w:t>
      </w:r>
      <w:r w:rsidRPr="009A24A9">
        <w:rPr>
          <w:rFonts w:ascii="Arial" w:eastAsia="Calibri" w:hAnsi="Arial" w:cs="Arial"/>
          <w:lang w:eastAsia="en-US"/>
        </w:rPr>
        <w:t>,</w:t>
      </w:r>
      <w:r w:rsidR="009A24A9" w:rsidRPr="009A24A9">
        <w:rPr>
          <w:rFonts w:ascii="Arial" w:eastAsia="Calibri" w:hAnsi="Arial" w:cs="Arial"/>
          <w:lang w:eastAsia="en-US"/>
        </w:rPr>
        <w:t>0</w:t>
      </w:r>
      <w:r w:rsidRPr="009A24A9">
        <w:rPr>
          <w:rFonts w:ascii="Arial" w:eastAsia="Calibri" w:hAnsi="Arial" w:cs="Arial"/>
          <w:lang w:eastAsia="en-US"/>
        </w:rPr>
        <w:t xml:space="preserve"> milhões (líquido das baixas).</w:t>
      </w:r>
    </w:p>
    <w:p w14:paraId="5633EB7A" w14:textId="77777777" w:rsidR="003637F3" w:rsidRPr="008C3806" w:rsidRDefault="003637F3" w:rsidP="00674757">
      <w:pPr>
        <w:tabs>
          <w:tab w:val="num" w:pos="-993"/>
        </w:tabs>
        <w:ind w:left="-993" w:right="226"/>
        <w:contextualSpacing/>
        <w:jc w:val="both"/>
        <w:rPr>
          <w:rFonts w:ascii="Arial" w:eastAsia="Times New Roman" w:hAnsi="Arial" w:cs="Arial"/>
          <w:sz w:val="8"/>
          <w:szCs w:val="8"/>
        </w:rPr>
      </w:pPr>
    </w:p>
    <w:p w14:paraId="20DD9D7C"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Perdas na Realização de Créditos</w:t>
      </w:r>
    </w:p>
    <w:p w14:paraId="70EF62AE" w14:textId="7666EAC6" w:rsidR="003637F3" w:rsidRPr="00E66614" w:rsidRDefault="00E5280B" w:rsidP="003637F3">
      <w:pPr>
        <w:tabs>
          <w:tab w:val="num" w:pos="-993"/>
        </w:tabs>
        <w:spacing w:after="160" w:line="259" w:lineRule="auto"/>
        <w:ind w:left="-993" w:right="226"/>
        <w:contextualSpacing/>
        <w:jc w:val="both"/>
        <w:rPr>
          <w:rFonts w:ascii="Arial" w:eastAsia="Calibri" w:hAnsi="Arial" w:cs="Arial"/>
          <w:lang w:eastAsia="en-US"/>
        </w:rPr>
      </w:pPr>
      <w:r w:rsidRPr="00E66614">
        <w:rPr>
          <w:rFonts w:ascii="Arial" w:eastAsia="Calibri" w:hAnsi="Arial" w:cs="Arial"/>
          <w:lang w:eastAsia="en-US"/>
        </w:rPr>
        <w:t>Redução</w:t>
      </w:r>
      <w:r w:rsidR="003637F3" w:rsidRPr="00E66614">
        <w:rPr>
          <w:rFonts w:ascii="Arial" w:eastAsia="Calibri" w:hAnsi="Arial" w:cs="Arial"/>
          <w:lang w:eastAsia="en-US"/>
        </w:rPr>
        <w:t xml:space="preserve"> de </w:t>
      </w:r>
      <w:r w:rsidRPr="00E66614">
        <w:rPr>
          <w:rFonts w:ascii="Arial" w:eastAsia="Calibri" w:hAnsi="Arial" w:cs="Arial"/>
          <w:lang w:eastAsia="en-US"/>
        </w:rPr>
        <w:t>13</w:t>
      </w:r>
      <w:r w:rsidR="003637F3" w:rsidRPr="00E66614">
        <w:rPr>
          <w:rFonts w:ascii="Arial" w:eastAsia="Calibri" w:hAnsi="Arial" w:cs="Arial"/>
          <w:lang w:eastAsia="en-US"/>
        </w:rPr>
        <w:t>,</w:t>
      </w:r>
      <w:r w:rsidRPr="00E66614">
        <w:rPr>
          <w:rFonts w:ascii="Arial" w:eastAsia="Calibri" w:hAnsi="Arial" w:cs="Arial"/>
          <w:lang w:eastAsia="en-US"/>
        </w:rPr>
        <w:t>4</w:t>
      </w:r>
      <w:r w:rsidR="003637F3" w:rsidRPr="00E66614">
        <w:rPr>
          <w:rFonts w:ascii="Arial" w:eastAsia="Calibri" w:hAnsi="Arial" w:cs="Arial"/>
          <w:lang w:eastAsia="en-US"/>
        </w:rPr>
        <w:t xml:space="preserve">%, decorrente principalmente do reflexo da </w:t>
      </w:r>
      <w:r w:rsidR="00E66614" w:rsidRPr="00E66614">
        <w:rPr>
          <w:rFonts w:ascii="Arial" w:eastAsia="Calibri" w:hAnsi="Arial" w:cs="Arial"/>
          <w:lang w:eastAsia="en-US"/>
        </w:rPr>
        <w:t>manutenção do Programa de Recuperação de Crédito Cliente Particular (RECLIP) até 31/12/2022, que previa o parcelamento das dívidas dos clientes privados em até 60 vezes, sem multa e com juros de parcelamento de apenas 0,3% ao mês.</w:t>
      </w:r>
    </w:p>
    <w:p w14:paraId="2AA995BD" w14:textId="77777777" w:rsidR="003637F3" w:rsidRPr="008C3806" w:rsidRDefault="003637F3" w:rsidP="00674757">
      <w:pPr>
        <w:tabs>
          <w:tab w:val="num" w:pos="-993"/>
        </w:tabs>
        <w:ind w:left="-993" w:right="226"/>
        <w:contextualSpacing/>
        <w:jc w:val="both"/>
        <w:rPr>
          <w:rFonts w:ascii="Arial" w:eastAsia="Times New Roman" w:hAnsi="Arial" w:cs="Arial"/>
          <w:sz w:val="8"/>
          <w:szCs w:val="8"/>
        </w:rPr>
      </w:pPr>
    </w:p>
    <w:p w14:paraId="46E2361F"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Fundo Municipal de Saneamento e Gestão Ambiental</w:t>
      </w:r>
    </w:p>
    <w:p w14:paraId="6F432185" w14:textId="4C2B0373" w:rsidR="003637F3" w:rsidRPr="003D51BD" w:rsidRDefault="003637F3" w:rsidP="003637F3">
      <w:pPr>
        <w:tabs>
          <w:tab w:val="num" w:pos="-993"/>
        </w:tabs>
        <w:spacing w:after="160" w:line="259" w:lineRule="auto"/>
        <w:ind w:left="-993" w:right="226"/>
        <w:contextualSpacing/>
        <w:jc w:val="both"/>
        <w:rPr>
          <w:rFonts w:ascii="Arial" w:eastAsia="Calibri" w:hAnsi="Arial" w:cs="Arial"/>
          <w:lang w:eastAsia="en-US"/>
        </w:rPr>
      </w:pPr>
      <w:r w:rsidRPr="003D51BD">
        <w:rPr>
          <w:rFonts w:ascii="Arial" w:eastAsia="Calibri" w:hAnsi="Arial" w:cs="Arial"/>
          <w:lang w:eastAsia="en-US"/>
        </w:rPr>
        <w:t xml:space="preserve">Crescimento de </w:t>
      </w:r>
      <w:r w:rsidR="003D51BD" w:rsidRPr="003D51BD">
        <w:rPr>
          <w:rFonts w:ascii="Arial" w:eastAsia="Calibri" w:hAnsi="Arial" w:cs="Arial"/>
          <w:lang w:eastAsia="en-US"/>
        </w:rPr>
        <w:t>23</w:t>
      </w:r>
      <w:r w:rsidRPr="003D51BD">
        <w:rPr>
          <w:rFonts w:ascii="Arial" w:eastAsia="Calibri" w:hAnsi="Arial" w:cs="Arial"/>
          <w:lang w:eastAsia="en-US"/>
        </w:rPr>
        <w:t>,</w:t>
      </w:r>
      <w:r w:rsidR="003D51BD" w:rsidRPr="003D51BD">
        <w:rPr>
          <w:rFonts w:ascii="Arial" w:eastAsia="Calibri" w:hAnsi="Arial" w:cs="Arial"/>
          <w:lang w:eastAsia="en-US"/>
        </w:rPr>
        <w:t>5</w:t>
      </w:r>
      <w:r w:rsidRPr="003D51BD">
        <w:rPr>
          <w:rFonts w:ascii="Arial" w:eastAsia="Calibri" w:hAnsi="Arial" w:cs="Arial"/>
          <w:lang w:eastAsia="en-US"/>
        </w:rPr>
        <w:t>%, em decorrência principalmente do aumento da base de cálculo relacionado ao reajuste tarifário, e também reflexo da repactuação das alíquotas por ocasião da formalização dos Termos de Atualização Contratual com as Microrregiões dos Serviços Públicos de Água e Esgotamento Sanitário do Estado do Paraná.</w:t>
      </w:r>
    </w:p>
    <w:p w14:paraId="7D69D87C" w14:textId="77777777" w:rsidR="003637F3" w:rsidRPr="008C3806" w:rsidRDefault="003637F3" w:rsidP="00674757">
      <w:pPr>
        <w:tabs>
          <w:tab w:val="num" w:pos="-993"/>
        </w:tabs>
        <w:ind w:left="-993" w:right="226"/>
        <w:contextualSpacing/>
        <w:jc w:val="both"/>
        <w:rPr>
          <w:rFonts w:ascii="Arial" w:eastAsia="Times New Roman" w:hAnsi="Arial" w:cs="Arial"/>
          <w:sz w:val="8"/>
          <w:szCs w:val="8"/>
        </w:rPr>
      </w:pPr>
    </w:p>
    <w:p w14:paraId="60A2FFE9" w14:textId="77777777" w:rsidR="003637F3" w:rsidRPr="000600E2" w:rsidRDefault="003637F3" w:rsidP="003637F3">
      <w:pPr>
        <w:tabs>
          <w:tab w:val="num" w:pos="-993"/>
        </w:tabs>
        <w:spacing w:after="160" w:line="259" w:lineRule="auto"/>
        <w:ind w:left="-993" w:right="226"/>
        <w:contextualSpacing/>
        <w:jc w:val="both"/>
        <w:rPr>
          <w:rFonts w:ascii="Arial" w:eastAsia="Calibri" w:hAnsi="Arial" w:cs="Arial"/>
          <w:b/>
          <w:lang w:eastAsia="en-US"/>
        </w:rPr>
      </w:pPr>
      <w:r w:rsidRPr="000600E2">
        <w:rPr>
          <w:rFonts w:ascii="Arial" w:eastAsia="Calibri" w:hAnsi="Arial" w:cs="Arial"/>
          <w:b/>
          <w:lang w:eastAsia="en-US"/>
        </w:rPr>
        <w:t>Provisões para Contingências</w:t>
      </w:r>
    </w:p>
    <w:p w14:paraId="40B71516" w14:textId="094125CA" w:rsidR="008F4991" w:rsidRPr="008F4991" w:rsidRDefault="00380797" w:rsidP="003637F3">
      <w:pPr>
        <w:tabs>
          <w:tab w:val="num" w:pos="-993"/>
        </w:tabs>
        <w:spacing w:after="160" w:line="259" w:lineRule="auto"/>
        <w:ind w:left="-993" w:right="226"/>
        <w:contextualSpacing/>
        <w:jc w:val="both"/>
        <w:rPr>
          <w:rFonts w:ascii="Arial" w:eastAsia="Calibri" w:hAnsi="Arial" w:cs="Arial"/>
          <w:lang w:eastAsia="en-US"/>
        </w:rPr>
      </w:pPr>
      <w:r w:rsidRPr="00674757">
        <w:rPr>
          <w:rFonts w:ascii="Arial" w:eastAsia="Calibri" w:hAnsi="Arial" w:cs="Arial"/>
          <w:lang w:eastAsia="en-US"/>
        </w:rPr>
        <w:t>Redução</w:t>
      </w:r>
      <w:r w:rsidR="003637F3" w:rsidRPr="00674757">
        <w:rPr>
          <w:rFonts w:ascii="Arial" w:eastAsia="Calibri" w:hAnsi="Arial" w:cs="Arial"/>
          <w:lang w:eastAsia="en-US"/>
        </w:rPr>
        <w:t xml:space="preserve"> de </w:t>
      </w:r>
      <w:r w:rsidRPr="00674757">
        <w:rPr>
          <w:rFonts w:ascii="Arial" w:eastAsia="Calibri" w:hAnsi="Arial" w:cs="Arial"/>
          <w:lang w:eastAsia="en-US"/>
        </w:rPr>
        <w:t>249</w:t>
      </w:r>
      <w:r w:rsidR="003637F3" w:rsidRPr="00674757">
        <w:rPr>
          <w:rFonts w:ascii="Arial" w:eastAsia="Calibri" w:hAnsi="Arial" w:cs="Arial"/>
          <w:lang w:eastAsia="en-US"/>
        </w:rPr>
        <w:t>,6%, principalmente em função de</w:t>
      </w:r>
      <w:r w:rsidR="008F4991" w:rsidRPr="00674757">
        <w:rPr>
          <w:rFonts w:ascii="Arial" w:eastAsia="Calibri" w:hAnsi="Arial" w:cs="Arial"/>
          <w:lang w:eastAsia="en-US"/>
        </w:rPr>
        <w:t xml:space="preserve"> reversão de Provisão Ambiental no montante de R$ </w:t>
      </w:r>
      <w:r w:rsidR="00674757" w:rsidRPr="00674757">
        <w:rPr>
          <w:rFonts w:ascii="Arial" w:eastAsia="Calibri" w:hAnsi="Arial" w:cs="Arial"/>
          <w:lang w:eastAsia="en-US"/>
        </w:rPr>
        <w:t>32,</w:t>
      </w:r>
      <w:r w:rsidR="00674757">
        <w:rPr>
          <w:rFonts w:ascii="Arial" w:eastAsia="Calibri" w:hAnsi="Arial" w:cs="Arial"/>
          <w:lang w:eastAsia="en-US"/>
        </w:rPr>
        <w:t>8</w:t>
      </w:r>
      <w:r w:rsidR="00674757" w:rsidRPr="00674757">
        <w:rPr>
          <w:rFonts w:ascii="Arial" w:eastAsia="Calibri" w:hAnsi="Arial" w:cs="Arial"/>
          <w:lang w:eastAsia="en-US"/>
        </w:rPr>
        <w:t xml:space="preserve"> milhões</w:t>
      </w:r>
      <w:r w:rsidR="008F4991" w:rsidRPr="00674757">
        <w:rPr>
          <w:rFonts w:ascii="Arial" w:eastAsia="Calibri" w:hAnsi="Arial" w:cs="Arial"/>
          <w:lang w:eastAsia="en-US"/>
        </w:rPr>
        <w:t xml:space="preserve">, líquido da provisão complementar realizada no trimestre no valor de R$ </w:t>
      </w:r>
      <w:r w:rsidR="00674757" w:rsidRPr="00674757">
        <w:rPr>
          <w:rFonts w:ascii="Arial" w:eastAsia="Calibri" w:hAnsi="Arial" w:cs="Arial"/>
          <w:lang w:eastAsia="en-US"/>
        </w:rPr>
        <w:t>54,8 milhões</w:t>
      </w:r>
      <w:r w:rsidR="008F4991" w:rsidRPr="00674757">
        <w:rPr>
          <w:rFonts w:ascii="Arial" w:eastAsia="Calibri" w:hAnsi="Arial" w:cs="Arial"/>
          <w:lang w:eastAsia="en-US"/>
        </w:rPr>
        <w:t>, referente a conversão de 5 Autos de Infrações Ambientais – AIA, lavrados pelo Instituto Brasileiro do Meio Ambiente e Recursos Renováveis – IBAMA no ano de 2012 em 2 Termos de Compromisso de Conversão de Multas – TCCM, no valor de R$ 87</w:t>
      </w:r>
      <w:r w:rsidR="00674757">
        <w:rPr>
          <w:rFonts w:ascii="Arial" w:eastAsia="Calibri" w:hAnsi="Arial" w:cs="Arial"/>
          <w:lang w:eastAsia="en-US"/>
        </w:rPr>
        <w:t>,</w:t>
      </w:r>
      <w:r w:rsidR="008F4991" w:rsidRPr="00674757">
        <w:rPr>
          <w:rFonts w:ascii="Arial" w:eastAsia="Calibri" w:hAnsi="Arial" w:cs="Arial"/>
          <w:lang w:eastAsia="en-US"/>
        </w:rPr>
        <w:t>6</w:t>
      </w:r>
      <w:r w:rsidR="00674757">
        <w:rPr>
          <w:rFonts w:ascii="Arial" w:eastAsia="Calibri" w:hAnsi="Arial" w:cs="Arial"/>
          <w:lang w:eastAsia="en-US"/>
        </w:rPr>
        <w:t xml:space="preserve"> milhões</w:t>
      </w:r>
      <w:r w:rsidR="008F4991" w:rsidRPr="00674757">
        <w:rPr>
          <w:rFonts w:ascii="Arial" w:eastAsia="Calibri" w:hAnsi="Arial" w:cs="Arial"/>
          <w:lang w:eastAsia="en-US"/>
        </w:rPr>
        <w:t xml:space="preserve"> registrado como Multas Ambientais em Outras Despesas Operacionais</w:t>
      </w:r>
      <w:r w:rsidR="00D7624F">
        <w:rPr>
          <w:rFonts w:ascii="Arial" w:eastAsia="Calibri" w:hAnsi="Arial" w:cs="Arial"/>
          <w:lang w:eastAsia="en-US"/>
        </w:rPr>
        <w:t>.</w:t>
      </w:r>
      <w:r w:rsidR="00D7624F" w:rsidRPr="00D7624F">
        <w:rPr>
          <w:rFonts w:ascii="Arial" w:eastAsia="Calibri" w:hAnsi="Arial" w:cs="Arial"/>
          <w:lang w:eastAsia="en-US"/>
        </w:rPr>
        <w:t xml:space="preserve"> Este valor será desembolsado ao longo de 120 meses na execução de Ações Ambientais relacionadas a execução de projeto ambiental denominado “Requalificação dos Complexos de cavas para melhoria ambiental do Rio Iguaçu e áreas úmidas do entorno”.</w:t>
      </w:r>
    </w:p>
    <w:p w14:paraId="49721C16" w14:textId="3143BCFB" w:rsidR="00350C32" w:rsidRPr="000A04CB" w:rsidRDefault="00350C32" w:rsidP="00A263FE">
      <w:pPr>
        <w:pStyle w:val="Cabealho"/>
        <w:tabs>
          <w:tab w:val="clear" w:pos="4419"/>
          <w:tab w:val="clear" w:pos="8838"/>
          <w:tab w:val="num" w:pos="-993"/>
        </w:tabs>
        <w:ind w:left="-993" w:right="226"/>
        <w:rPr>
          <w:rFonts w:ascii="Arial" w:eastAsia="Times New Roman" w:hAnsi="Arial" w:cs="Arial"/>
          <w:b/>
          <w:bCs/>
          <w:color w:val="355993"/>
        </w:rPr>
      </w:pPr>
      <w:r w:rsidRPr="000A04CB">
        <w:rPr>
          <w:rFonts w:ascii="Arial" w:eastAsia="Times New Roman" w:hAnsi="Arial" w:cs="Arial"/>
          <w:b/>
          <w:bCs/>
          <w:color w:val="355993"/>
        </w:rPr>
        <w:lastRenderedPageBreak/>
        <w:t>2.2   INDICADORES ECONÔMICOS</w:t>
      </w:r>
    </w:p>
    <w:p w14:paraId="39AC452B" w14:textId="77777777" w:rsidR="00350C32" w:rsidRPr="00993F5D" w:rsidRDefault="00350C32" w:rsidP="00A263FE">
      <w:pPr>
        <w:tabs>
          <w:tab w:val="num" w:pos="-993"/>
        </w:tabs>
        <w:ind w:left="-993" w:right="226"/>
        <w:contextualSpacing/>
        <w:rPr>
          <w:rFonts w:ascii="Arial" w:eastAsia="Calibri" w:hAnsi="Arial" w:cs="Arial"/>
          <w:b/>
          <w:color w:val="355993"/>
          <w:lang w:eastAsia="en-US"/>
        </w:rPr>
      </w:pPr>
    </w:p>
    <w:bookmarkStart w:id="12" w:name="_MON_1603609082"/>
    <w:bookmarkEnd w:id="12"/>
    <w:p w14:paraId="20E65FE9" w14:textId="277BE898" w:rsidR="00350C32" w:rsidRPr="0078728E" w:rsidRDefault="0092055E" w:rsidP="00A263FE">
      <w:pPr>
        <w:tabs>
          <w:tab w:val="num" w:pos="-993"/>
        </w:tabs>
        <w:spacing w:after="160" w:line="259" w:lineRule="auto"/>
        <w:ind w:left="-993" w:right="226"/>
        <w:contextualSpacing/>
        <w:jc w:val="both"/>
        <w:rPr>
          <w:rFonts w:ascii="Arial" w:eastAsia="Calibri" w:hAnsi="Arial" w:cs="Arial"/>
          <w:sz w:val="16"/>
          <w:szCs w:val="23"/>
          <w:lang w:eastAsia="en-US"/>
        </w:rPr>
      </w:pPr>
      <w:r w:rsidRPr="00EC7340">
        <w:rPr>
          <w:rFonts w:ascii="Arial" w:eastAsia="Calibri" w:hAnsi="Arial" w:cs="Arial"/>
          <w:sz w:val="23"/>
          <w:szCs w:val="23"/>
          <w:lang w:eastAsia="en-US"/>
        </w:rPr>
        <w:object w:dxaOrig="11053" w:dyaOrig="4740" w14:anchorId="379D5AD5">
          <v:shape id="_x0000_i1036" type="#_x0000_t75" style="width:532.55pt;height:231.6pt" o:ole="">
            <v:imagedata r:id="rId34" o:title=""/>
          </v:shape>
          <o:OLEObject Type="Embed" ProgID="Excel.Sheet.12" ShapeID="_x0000_i1036" DrawAspect="Content" ObjectID="_1737529298" r:id="rId35"/>
        </w:object>
      </w:r>
      <w:bookmarkStart w:id="13" w:name="_MON_1603609082"/>
      <w:bookmarkEnd w:id="13"/>
    </w:p>
    <w:p w14:paraId="40FA2697" w14:textId="77777777" w:rsidR="00350C32" w:rsidRPr="00993F5D" w:rsidRDefault="00350C32" w:rsidP="00A263FE">
      <w:pPr>
        <w:tabs>
          <w:tab w:val="num" w:pos="-993"/>
        </w:tabs>
        <w:spacing w:after="160" w:line="259" w:lineRule="auto"/>
        <w:ind w:left="-993" w:right="226"/>
        <w:contextualSpacing/>
        <w:jc w:val="both"/>
        <w:rPr>
          <w:rFonts w:ascii="Arial" w:eastAsia="Calibri" w:hAnsi="Arial" w:cs="Arial"/>
          <w:lang w:eastAsia="en-US"/>
        </w:rPr>
      </w:pPr>
    </w:p>
    <w:p w14:paraId="16762295" w14:textId="503F860B" w:rsidR="006A1286"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6A1286">
        <w:rPr>
          <w:rFonts w:ascii="Arial" w:eastAsia="Calibri" w:hAnsi="Arial" w:cs="Arial"/>
          <w:sz w:val="23"/>
          <w:szCs w:val="23"/>
          <w:lang w:eastAsia="en-US"/>
        </w:rPr>
        <w:t xml:space="preserve">O </w:t>
      </w:r>
      <w:r w:rsidRPr="006A1286">
        <w:rPr>
          <w:rFonts w:ascii="Arial" w:eastAsia="Calibri" w:hAnsi="Arial" w:cs="Arial"/>
          <w:lang w:eastAsia="en-US"/>
        </w:rPr>
        <w:t xml:space="preserve">resultado financeiro </w:t>
      </w:r>
      <w:r w:rsidR="006C1EFF">
        <w:rPr>
          <w:rFonts w:ascii="Arial" w:eastAsia="Calibri" w:hAnsi="Arial" w:cs="Arial"/>
          <w:lang w:eastAsia="en-US"/>
        </w:rPr>
        <w:t>cresceu</w:t>
      </w:r>
      <w:r w:rsidRPr="006A1286">
        <w:rPr>
          <w:rFonts w:ascii="Arial" w:eastAsia="Calibri" w:hAnsi="Arial" w:cs="Arial"/>
          <w:lang w:eastAsia="en-US"/>
        </w:rPr>
        <w:t xml:space="preserve"> </w:t>
      </w:r>
      <w:r w:rsidR="006A1286" w:rsidRPr="006A1286">
        <w:rPr>
          <w:rFonts w:ascii="Arial" w:eastAsia="Calibri" w:hAnsi="Arial" w:cs="Arial"/>
          <w:lang w:eastAsia="en-US"/>
        </w:rPr>
        <w:t>0</w:t>
      </w:r>
      <w:r w:rsidRPr="006A1286">
        <w:rPr>
          <w:rFonts w:ascii="Arial" w:eastAsia="Calibri" w:hAnsi="Arial" w:cs="Arial"/>
          <w:lang w:eastAsia="en-US"/>
        </w:rPr>
        <w:t>,</w:t>
      </w:r>
      <w:r w:rsidR="006B01A5" w:rsidRPr="006A1286">
        <w:rPr>
          <w:rFonts w:ascii="Arial" w:eastAsia="Calibri" w:hAnsi="Arial" w:cs="Arial"/>
          <w:lang w:eastAsia="en-US"/>
        </w:rPr>
        <w:t>9</w:t>
      </w:r>
      <w:r w:rsidRPr="006A1286">
        <w:rPr>
          <w:rFonts w:ascii="Arial" w:eastAsia="Calibri" w:hAnsi="Arial" w:cs="Arial"/>
          <w:lang w:eastAsia="en-US"/>
        </w:rPr>
        <w:t>% passando de -R$</w:t>
      </w:r>
      <w:r w:rsidR="003637F3" w:rsidRPr="006A1286">
        <w:rPr>
          <w:rFonts w:ascii="Arial" w:eastAsia="Calibri" w:hAnsi="Arial" w:cs="Arial"/>
          <w:lang w:eastAsia="en-US"/>
        </w:rPr>
        <w:t>66</w:t>
      </w:r>
      <w:r w:rsidRPr="006A1286">
        <w:rPr>
          <w:rFonts w:ascii="Arial" w:eastAsia="Calibri" w:hAnsi="Arial" w:cs="Arial"/>
          <w:lang w:eastAsia="en-US"/>
        </w:rPr>
        <w:t>,</w:t>
      </w:r>
      <w:r w:rsidR="003637F3" w:rsidRPr="006A1286">
        <w:rPr>
          <w:rFonts w:ascii="Arial" w:eastAsia="Calibri" w:hAnsi="Arial" w:cs="Arial"/>
          <w:lang w:eastAsia="en-US"/>
        </w:rPr>
        <w:t>6</w:t>
      </w:r>
      <w:r w:rsidRPr="006A1286">
        <w:rPr>
          <w:rFonts w:ascii="Arial" w:eastAsia="Calibri" w:hAnsi="Arial" w:cs="Arial"/>
          <w:lang w:eastAsia="en-US"/>
        </w:rPr>
        <w:t xml:space="preserve"> milhões no </w:t>
      </w:r>
      <w:r w:rsidR="00A374E2" w:rsidRPr="006A1286">
        <w:rPr>
          <w:rFonts w:ascii="Arial" w:eastAsia="Calibri" w:hAnsi="Arial" w:cs="Arial"/>
          <w:lang w:eastAsia="en-US"/>
        </w:rPr>
        <w:t>4</w:t>
      </w:r>
      <w:r w:rsidRPr="006A1286">
        <w:rPr>
          <w:rFonts w:ascii="Arial" w:eastAsia="Calibri" w:hAnsi="Arial" w:cs="Arial"/>
          <w:lang w:eastAsia="en-US"/>
        </w:rPr>
        <w:t>T2</w:t>
      </w:r>
      <w:r w:rsidR="003637F3" w:rsidRPr="006A1286">
        <w:rPr>
          <w:rFonts w:ascii="Arial" w:eastAsia="Calibri" w:hAnsi="Arial" w:cs="Arial"/>
          <w:lang w:eastAsia="en-US"/>
        </w:rPr>
        <w:t>1</w:t>
      </w:r>
      <w:r w:rsidRPr="006A1286">
        <w:rPr>
          <w:rFonts w:ascii="Arial" w:eastAsia="Calibri" w:hAnsi="Arial" w:cs="Arial"/>
          <w:lang w:eastAsia="en-US"/>
        </w:rPr>
        <w:t xml:space="preserve"> para</w:t>
      </w:r>
      <w:r w:rsidR="00F9719E" w:rsidRPr="006A1286">
        <w:rPr>
          <w:rFonts w:ascii="Arial" w:eastAsia="Calibri" w:hAnsi="Arial" w:cs="Arial"/>
          <w:lang w:eastAsia="en-US"/>
        </w:rPr>
        <w:t xml:space="preserve"> </w:t>
      </w:r>
      <w:r w:rsidR="00C050DA" w:rsidRPr="006A1286">
        <w:rPr>
          <w:rFonts w:ascii="Arial" w:eastAsia="Calibri" w:hAnsi="Arial" w:cs="Arial"/>
          <w:lang w:eastAsia="en-US"/>
        </w:rPr>
        <w:t>-</w:t>
      </w:r>
      <w:r w:rsidRPr="006A1286">
        <w:rPr>
          <w:rFonts w:ascii="Arial" w:eastAsia="Calibri" w:hAnsi="Arial" w:cs="Arial"/>
          <w:lang w:eastAsia="en-US"/>
        </w:rPr>
        <w:t>R$</w:t>
      </w:r>
      <w:r w:rsidR="006B01A5" w:rsidRPr="006A1286">
        <w:rPr>
          <w:rFonts w:ascii="Arial" w:eastAsia="Calibri" w:hAnsi="Arial" w:cs="Arial"/>
          <w:lang w:eastAsia="en-US"/>
        </w:rPr>
        <w:t>6</w:t>
      </w:r>
      <w:r w:rsidR="006A1286" w:rsidRPr="006A1286">
        <w:rPr>
          <w:rFonts w:ascii="Arial" w:eastAsia="Calibri" w:hAnsi="Arial" w:cs="Arial"/>
          <w:lang w:eastAsia="en-US"/>
        </w:rPr>
        <w:t>7</w:t>
      </w:r>
      <w:r w:rsidR="006B01A5" w:rsidRPr="006A1286">
        <w:rPr>
          <w:rFonts w:ascii="Arial" w:eastAsia="Calibri" w:hAnsi="Arial" w:cs="Arial"/>
          <w:lang w:eastAsia="en-US"/>
        </w:rPr>
        <w:t>,</w:t>
      </w:r>
      <w:r w:rsidR="006A1286" w:rsidRPr="006A1286">
        <w:rPr>
          <w:rFonts w:ascii="Arial" w:eastAsia="Calibri" w:hAnsi="Arial" w:cs="Arial"/>
          <w:lang w:eastAsia="en-US"/>
        </w:rPr>
        <w:t>2</w:t>
      </w:r>
      <w:r w:rsidRPr="00676749">
        <w:rPr>
          <w:rFonts w:ascii="Arial" w:eastAsia="Calibri" w:hAnsi="Arial" w:cs="Arial"/>
          <w:lang w:eastAsia="en-US"/>
        </w:rPr>
        <w:t xml:space="preserve"> milhões no </w:t>
      </w:r>
      <w:r w:rsidR="00A374E2" w:rsidRPr="00390DEE">
        <w:rPr>
          <w:rFonts w:ascii="Arial" w:eastAsia="Calibri" w:hAnsi="Arial" w:cs="Arial"/>
          <w:lang w:eastAsia="en-US"/>
        </w:rPr>
        <w:t>4</w:t>
      </w:r>
      <w:r w:rsidRPr="00390DEE">
        <w:rPr>
          <w:rFonts w:ascii="Arial" w:eastAsia="Calibri" w:hAnsi="Arial" w:cs="Arial"/>
          <w:lang w:eastAsia="en-US"/>
        </w:rPr>
        <w:t>T2</w:t>
      </w:r>
      <w:r w:rsidR="003637F3">
        <w:rPr>
          <w:rFonts w:ascii="Arial" w:eastAsia="Calibri" w:hAnsi="Arial" w:cs="Arial"/>
          <w:lang w:eastAsia="en-US"/>
        </w:rPr>
        <w:t>2</w:t>
      </w:r>
      <w:r w:rsidR="006A1286">
        <w:rPr>
          <w:rFonts w:ascii="Arial" w:eastAsia="Calibri" w:hAnsi="Arial" w:cs="Arial"/>
          <w:lang w:eastAsia="en-US"/>
        </w:rPr>
        <w:t xml:space="preserve">. As Despesas Financeiras cresceram 21,7%, </w:t>
      </w:r>
      <w:r w:rsidR="006A1286" w:rsidRPr="006A1286">
        <w:rPr>
          <w:rFonts w:ascii="Arial" w:eastAsia="Calibri" w:hAnsi="Arial" w:cs="Arial"/>
          <w:lang w:eastAsia="en-US"/>
        </w:rPr>
        <w:t xml:space="preserve">principalmente </w:t>
      </w:r>
      <w:r w:rsidRPr="006A1286">
        <w:rPr>
          <w:rFonts w:ascii="Arial" w:eastAsia="Calibri" w:hAnsi="Arial" w:cs="Arial"/>
          <w:lang w:eastAsia="en-US"/>
        </w:rPr>
        <w:t>em despesas com juros e taxas de financiamentos, empréstimos, debêntures e arrendamentos, passando de R$</w:t>
      </w:r>
      <w:r w:rsidR="003637F3" w:rsidRPr="006A1286">
        <w:rPr>
          <w:rFonts w:ascii="Arial" w:eastAsia="Calibri" w:hAnsi="Arial" w:cs="Arial"/>
          <w:lang w:eastAsia="en-US"/>
        </w:rPr>
        <w:t>66</w:t>
      </w:r>
      <w:r w:rsidR="00A374E2" w:rsidRPr="006A1286">
        <w:rPr>
          <w:rFonts w:ascii="Arial" w:eastAsia="Calibri" w:hAnsi="Arial" w:cs="Arial"/>
          <w:lang w:eastAsia="en-US"/>
        </w:rPr>
        <w:t>,</w:t>
      </w:r>
      <w:r w:rsidR="003637F3" w:rsidRPr="006A1286">
        <w:rPr>
          <w:rFonts w:ascii="Arial" w:eastAsia="Calibri" w:hAnsi="Arial" w:cs="Arial"/>
          <w:lang w:eastAsia="en-US"/>
        </w:rPr>
        <w:t>6</w:t>
      </w:r>
      <w:r w:rsidR="00714700" w:rsidRPr="006A1286">
        <w:rPr>
          <w:rFonts w:ascii="Arial" w:eastAsia="Calibri" w:hAnsi="Arial" w:cs="Arial"/>
          <w:lang w:eastAsia="en-US"/>
        </w:rPr>
        <w:t xml:space="preserve"> </w:t>
      </w:r>
      <w:r w:rsidRPr="006A1286">
        <w:rPr>
          <w:rFonts w:ascii="Arial" w:eastAsia="Calibri" w:hAnsi="Arial" w:cs="Arial"/>
          <w:lang w:eastAsia="en-US"/>
        </w:rPr>
        <w:t xml:space="preserve">milhões </w:t>
      </w:r>
      <w:r w:rsidR="005F3EAA" w:rsidRPr="006A1286">
        <w:rPr>
          <w:rFonts w:ascii="Arial" w:eastAsia="Calibri" w:hAnsi="Arial" w:cs="Arial"/>
          <w:lang w:eastAsia="en-US"/>
        </w:rPr>
        <w:t xml:space="preserve">no </w:t>
      </w:r>
      <w:r w:rsidR="00A374E2" w:rsidRPr="006A1286">
        <w:rPr>
          <w:rFonts w:ascii="Arial" w:eastAsia="Calibri" w:hAnsi="Arial" w:cs="Arial"/>
          <w:lang w:eastAsia="en-US"/>
        </w:rPr>
        <w:t>4</w:t>
      </w:r>
      <w:r w:rsidR="005F3EAA" w:rsidRPr="006A1286">
        <w:rPr>
          <w:rFonts w:ascii="Arial" w:eastAsia="Calibri" w:hAnsi="Arial" w:cs="Arial"/>
          <w:lang w:eastAsia="en-US"/>
        </w:rPr>
        <w:t>T2</w:t>
      </w:r>
      <w:r w:rsidR="003637F3" w:rsidRPr="006A1286">
        <w:rPr>
          <w:rFonts w:ascii="Arial" w:eastAsia="Calibri" w:hAnsi="Arial" w:cs="Arial"/>
          <w:lang w:eastAsia="en-US"/>
        </w:rPr>
        <w:t>1</w:t>
      </w:r>
      <w:r w:rsidR="005F3EAA" w:rsidRPr="006A1286">
        <w:rPr>
          <w:rFonts w:ascii="Arial" w:eastAsia="Calibri" w:hAnsi="Arial" w:cs="Arial"/>
          <w:lang w:eastAsia="en-US"/>
        </w:rPr>
        <w:t xml:space="preserve"> </w:t>
      </w:r>
      <w:r w:rsidRPr="006A1286">
        <w:rPr>
          <w:rFonts w:ascii="Arial" w:eastAsia="Calibri" w:hAnsi="Arial" w:cs="Arial"/>
          <w:lang w:eastAsia="en-US"/>
        </w:rPr>
        <w:t>para R$</w:t>
      </w:r>
      <w:r w:rsidR="006A1286" w:rsidRPr="006A1286">
        <w:rPr>
          <w:rFonts w:ascii="Arial" w:eastAsia="Calibri" w:hAnsi="Arial" w:cs="Arial"/>
          <w:lang w:eastAsia="en-US"/>
        </w:rPr>
        <w:t>95</w:t>
      </w:r>
      <w:r w:rsidR="00D20A07" w:rsidRPr="006A1286">
        <w:rPr>
          <w:rFonts w:ascii="Arial" w:eastAsia="Calibri" w:hAnsi="Arial" w:cs="Arial"/>
          <w:lang w:eastAsia="en-US"/>
        </w:rPr>
        <w:t>,</w:t>
      </w:r>
      <w:r w:rsidR="006A1286" w:rsidRPr="006A1286">
        <w:rPr>
          <w:rFonts w:ascii="Arial" w:eastAsia="Calibri" w:hAnsi="Arial" w:cs="Arial"/>
          <w:lang w:eastAsia="en-US"/>
        </w:rPr>
        <w:t>9</w:t>
      </w:r>
      <w:r w:rsidR="00714700" w:rsidRPr="006A1286">
        <w:rPr>
          <w:rFonts w:ascii="Arial" w:eastAsia="Calibri" w:hAnsi="Arial" w:cs="Arial"/>
          <w:lang w:eastAsia="en-US"/>
        </w:rPr>
        <w:t xml:space="preserve"> </w:t>
      </w:r>
      <w:r w:rsidRPr="006A1286">
        <w:rPr>
          <w:rFonts w:ascii="Arial" w:eastAsia="Calibri" w:hAnsi="Arial" w:cs="Arial"/>
          <w:lang w:eastAsia="en-US"/>
        </w:rPr>
        <w:t xml:space="preserve">milhões no </w:t>
      </w:r>
      <w:r w:rsidR="00A374E2" w:rsidRPr="006A1286">
        <w:rPr>
          <w:rFonts w:ascii="Arial" w:eastAsia="Calibri" w:hAnsi="Arial" w:cs="Arial"/>
          <w:lang w:eastAsia="en-US"/>
        </w:rPr>
        <w:t>4</w:t>
      </w:r>
      <w:r w:rsidRPr="006A1286">
        <w:rPr>
          <w:rFonts w:ascii="Arial" w:eastAsia="Calibri" w:hAnsi="Arial" w:cs="Arial"/>
          <w:lang w:eastAsia="en-US"/>
        </w:rPr>
        <w:t>T2</w:t>
      </w:r>
      <w:r w:rsidR="003637F3" w:rsidRPr="006A1286">
        <w:rPr>
          <w:rFonts w:ascii="Arial" w:eastAsia="Calibri" w:hAnsi="Arial" w:cs="Arial"/>
          <w:lang w:eastAsia="en-US"/>
        </w:rPr>
        <w:t>2</w:t>
      </w:r>
      <w:r w:rsidR="006A1286">
        <w:rPr>
          <w:rFonts w:ascii="Arial" w:eastAsia="Calibri" w:hAnsi="Arial" w:cs="Arial"/>
          <w:lang w:eastAsia="en-US"/>
        </w:rPr>
        <w:t>, decorrentes do aumento da base de cálculo dos encargos financeiros em função da captação de recursos de terceiros, bem como dos índices de correção monetária das dívidas, principalmente pelo aumento do CDI em comparação ao mesmo período de 2021. Por outro lado, as Receitas Financeiras cresceram 57,0%, passando de R$</w:t>
      </w:r>
      <w:r w:rsidR="002F0B2D">
        <w:rPr>
          <w:rFonts w:ascii="Arial" w:eastAsia="Calibri" w:hAnsi="Arial" w:cs="Arial"/>
          <w:lang w:eastAsia="en-US"/>
        </w:rPr>
        <w:t>39</w:t>
      </w:r>
      <w:r w:rsidR="006A1286">
        <w:rPr>
          <w:rFonts w:ascii="Arial" w:eastAsia="Calibri" w:hAnsi="Arial" w:cs="Arial"/>
          <w:lang w:eastAsia="en-US"/>
        </w:rPr>
        <w:t>,</w:t>
      </w:r>
      <w:r w:rsidR="002F0B2D">
        <w:rPr>
          <w:rFonts w:ascii="Arial" w:eastAsia="Calibri" w:hAnsi="Arial" w:cs="Arial"/>
          <w:lang w:eastAsia="en-US"/>
        </w:rPr>
        <w:t>1</w:t>
      </w:r>
      <w:r w:rsidR="006A1286">
        <w:rPr>
          <w:rFonts w:ascii="Arial" w:eastAsia="Calibri" w:hAnsi="Arial" w:cs="Arial"/>
          <w:lang w:eastAsia="en-US"/>
        </w:rPr>
        <w:t xml:space="preserve"> milhões no 4T21 para R$</w:t>
      </w:r>
      <w:r w:rsidR="002F0B2D">
        <w:rPr>
          <w:rFonts w:ascii="Arial" w:eastAsia="Calibri" w:hAnsi="Arial" w:cs="Arial"/>
          <w:lang w:eastAsia="en-US"/>
        </w:rPr>
        <w:t>61</w:t>
      </w:r>
      <w:r w:rsidR="006A1286">
        <w:rPr>
          <w:rFonts w:ascii="Arial" w:eastAsia="Calibri" w:hAnsi="Arial" w:cs="Arial"/>
          <w:lang w:eastAsia="en-US"/>
        </w:rPr>
        <w:t>,</w:t>
      </w:r>
      <w:r w:rsidR="002F0B2D">
        <w:rPr>
          <w:rFonts w:ascii="Arial" w:eastAsia="Calibri" w:hAnsi="Arial" w:cs="Arial"/>
          <w:lang w:eastAsia="en-US"/>
        </w:rPr>
        <w:t>4</w:t>
      </w:r>
      <w:r w:rsidR="006A1286">
        <w:rPr>
          <w:rFonts w:ascii="Arial" w:eastAsia="Calibri" w:hAnsi="Arial" w:cs="Arial"/>
          <w:lang w:eastAsia="en-US"/>
        </w:rPr>
        <w:t xml:space="preserve"> milhões no 4T22, devido principalmente pela alteração da taxa SELIC e do incremento de Caixa e Equivalente de Caixa da Companhia (valores aplicados).</w:t>
      </w:r>
    </w:p>
    <w:p w14:paraId="63B6727A" w14:textId="77777777" w:rsidR="006A1286" w:rsidRDefault="006A1286" w:rsidP="00A263FE">
      <w:pPr>
        <w:tabs>
          <w:tab w:val="num" w:pos="-993"/>
        </w:tabs>
        <w:spacing w:after="160" w:line="259" w:lineRule="auto"/>
        <w:ind w:left="-993" w:right="226"/>
        <w:contextualSpacing/>
        <w:jc w:val="both"/>
        <w:rPr>
          <w:rFonts w:ascii="Arial" w:eastAsia="Calibri" w:hAnsi="Arial" w:cs="Arial"/>
          <w:lang w:eastAsia="en-US"/>
        </w:rPr>
      </w:pPr>
    </w:p>
    <w:bookmarkStart w:id="14" w:name="_MON_1603609727"/>
    <w:bookmarkEnd w:id="14"/>
    <w:p w14:paraId="4F1A3BF1" w14:textId="79AACA1D" w:rsidR="00350C32" w:rsidRPr="0078728E" w:rsidRDefault="00987BF1" w:rsidP="00A263FE">
      <w:pPr>
        <w:tabs>
          <w:tab w:val="num" w:pos="-993"/>
        </w:tabs>
        <w:spacing w:after="160" w:line="259" w:lineRule="auto"/>
        <w:ind w:left="-993" w:right="226"/>
        <w:contextualSpacing/>
        <w:jc w:val="both"/>
        <w:rPr>
          <w:rFonts w:ascii="Arial" w:eastAsia="Calibri" w:hAnsi="Arial" w:cs="Arial"/>
          <w:b/>
          <w:color w:val="0033CC"/>
          <w:sz w:val="14"/>
          <w:szCs w:val="20"/>
          <w:lang w:eastAsia="en-US"/>
        </w:rPr>
      </w:pPr>
      <w:r w:rsidRPr="00EC7340">
        <w:rPr>
          <w:rFonts w:ascii="Arial" w:eastAsia="Calibri" w:hAnsi="Arial" w:cs="Arial"/>
          <w:b/>
          <w:color w:val="0033CC"/>
          <w:sz w:val="20"/>
          <w:szCs w:val="20"/>
          <w:lang w:eastAsia="en-US"/>
        </w:rPr>
        <w:object w:dxaOrig="10344" w:dyaOrig="1561" w14:anchorId="2AB270ED">
          <v:shape id="_x0000_i1037" type="#_x0000_t75" style="width:532.55pt;height:80.15pt" o:ole="">
            <v:imagedata r:id="rId36" o:title=""/>
          </v:shape>
          <o:OLEObject Type="Embed" ProgID="Excel.Sheet.12" ShapeID="_x0000_i1037" DrawAspect="Content" ObjectID="_1737529299" r:id="rId37"/>
        </w:object>
      </w:r>
    </w:p>
    <w:p w14:paraId="3C7A76E0" w14:textId="77777777" w:rsidR="00350C32" w:rsidRPr="00F40C9D" w:rsidRDefault="00350C32" w:rsidP="00A263FE">
      <w:pPr>
        <w:tabs>
          <w:tab w:val="num" w:pos="-993"/>
        </w:tabs>
        <w:spacing w:after="160" w:line="259" w:lineRule="auto"/>
        <w:ind w:left="-993" w:right="226"/>
        <w:contextualSpacing/>
        <w:jc w:val="both"/>
        <w:rPr>
          <w:rFonts w:ascii="Arial" w:eastAsia="Calibri" w:hAnsi="Arial" w:cs="Arial"/>
          <w:lang w:eastAsia="en-US"/>
        </w:rPr>
      </w:pPr>
    </w:p>
    <w:p w14:paraId="412F3F8C" w14:textId="5C493EF2"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51032E">
        <w:rPr>
          <w:rFonts w:ascii="Arial" w:eastAsia="Calibri" w:hAnsi="Arial" w:cs="Arial"/>
          <w:lang w:eastAsia="en-US"/>
        </w:rPr>
        <w:t>A Companhia obteve um lucro líquido de R$</w:t>
      </w:r>
      <w:r w:rsidR="0051032E" w:rsidRPr="0051032E">
        <w:rPr>
          <w:rFonts w:ascii="Arial" w:eastAsia="Calibri" w:hAnsi="Arial" w:cs="Arial"/>
          <w:lang w:eastAsia="en-US"/>
        </w:rPr>
        <w:t>350</w:t>
      </w:r>
      <w:r w:rsidRPr="0051032E">
        <w:rPr>
          <w:rFonts w:ascii="Arial" w:eastAsia="Calibri" w:hAnsi="Arial" w:cs="Arial"/>
          <w:lang w:eastAsia="en-US"/>
        </w:rPr>
        <w:t>,</w:t>
      </w:r>
      <w:r w:rsidR="0051032E" w:rsidRPr="0051032E">
        <w:rPr>
          <w:rFonts w:ascii="Arial" w:eastAsia="Calibri" w:hAnsi="Arial" w:cs="Arial"/>
          <w:lang w:eastAsia="en-US"/>
        </w:rPr>
        <w:t>9</w:t>
      </w:r>
      <w:r w:rsidRPr="0051032E">
        <w:rPr>
          <w:rFonts w:ascii="Arial" w:eastAsia="Calibri" w:hAnsi="Arial" w:cs="Arial"/>
          <w:lang w:eastAsia="en-US"/>
        </w:rPr>
        <w:t xml:space="preserve"> milhões no </w:t>
      </w:r>
      <w:r w:rsidR="000F39EE" w:rsidRPr="0051032E">
        <w:rPr>
          <w:rFonts w:ascii="Arial" w:eastAsia="Calibri" w:hAnsi="Arial" w:cs="Arial"/>
          <w:lang w:eastAsia="en-US"/>
        </w:rPr>
        <w:t>4</w:t>
      </w:r>
      <w:r w:rsidRPr="0051032E">
        <w:rPr>
          <w:rFonts w:ascii="Arial" w:eastAsia="Calibri" w:hAnsi="Arial" w:cs="Arial"/>
          <w:lang w:eastAsia="en-US"/>
        </w:rPr>
        <w:t>T2</w:t>
      </w:r>
      <w:r w:rsidR="00132FC5" w:rsidRPr="0051032E">
        <w:rPr>
          <w:rFonts w:ascii="Arial" w:eastAsia="Calibri" w:hAnsi="Arial" w:cs="Arial"/>
          <w:lang w:eastAsia="en-US"/>
        </w:rPr>
        <w:t>2</w:t>
      </w:r>
      <w:r w:rsidRPr="0051032E">
        <w:rPr>
          <w:rFonts w:ascii="Arial" w:eastAsia="Calibri" w:hAnsi="Arial" w:cs="Arial"/>
          <w:lang w:eastAsia="en-US"/>
        </w:rPr>
        <w:t xml:space="preserve">, </w:t>
      </w:r>
      <w:r w:rsidR="0051032E" w:rsidRPr="0051032E">
        <w:rPr>
          <w:rFonts w:ascii="Arial" w:eastAsia="Calibri" w:hAnsi="Arial" w:cs="Arial"/>
          <w:lang w:eastAsia="en-US"/>
        </w:rPr>
        <w:t>5</w:t>
      </w:r>
      <w:r w:rsidRPr="0051032E">
        <w:rPr>
          <w:rFonts w:ascii="Arial" w:eastAsia="Calibri" w:hAnsi="Arial" w:cs="Arial"/>
          <w:lang w:eastAsia="en-US"/>
        </w:rPr>
        <w:t>,</w:t>
      </w:r>
      <w:r w:rsidR="0051032E" w:rsidRPr="0051032E">
        <w:rPr>
          <w:rFonts w:ascii="Arial" w:eastAsia="Calibri" w:hAnsi="Arial" w:cs="Arial"/>
          <w:lang w:eastAsia="en-US"/>
        </w:rPr>
        <w:t>7</w:t>
      </w:r>
      <w:r w:rsidRPr="0051032E">
        <w:rPr>
          <w:rFonts w:ascii="Arial" w:eastAsia="Calibri" w:hAnsi="Arial" w:cs="Arial"/>
          <w:lang w:eastAsia="en-US"/>
        </w:rPr>
        <w:t>% a</w:t>
      </w:r>
      <w:r w:rsidR="00C75CE5" w:rsidRPr="0051032E">
        <w:rPr>
          <w:rFonts w:ascii="Arial" w:eastAsia="Calibri" w:hAnsi="Arial" w:cs="Arial"/>
          <w:lang w:eastAsia="en-US"/>
        </w:rPr>
        <w:t>cima</w:t>
      </w:r>
      <w:r w:rsidRPr="0051032E">
        <w:rPr>
          <w:rFonts w:ascii="Arial" w:eastAsia="Calibri" w:hAnsi="Arial" w:cs="Arial"/>
          <w:lang w:eastAsia="en-US"/>
        </w:rPr>
        <w:t xml:space="preserve"> do resultado líquido de R$</w:t>
      </w:r>
      <w:r w:rsidR="00132FC5" w:rsidRPr="0051032E">
        <w:rPr>
          <w:rFonts w:ascii="Arial" w:eastAsia="Calibri" w:hAnsi="Arial" w:cs="Arial"/>
          <w:lang w:eastAsia="en-US"/>
        </w:rPr>
        <w:t>332</w:t>
      </w:r>
      <w:r w:rsidRPr="0051032E">
        <w:rPr>
          <w:rFonts w:ascii="Arial" w:eastAsia="Calibri" w:hAnsi="Arial" w:cs="Arial"/>
          <w:lang w:eastAsia="en-US"/>
        </w:rPr>
        <w:t>,</w:t>
      </w:r>
      <w:r w:rsidR="00132FC5" w:rsidRPr="0051032E">
        <w:rPr>
          <w:rFonts w:ascii="Arial" w:eastAsia="Calibri" w:hAnsi="Arial" w:cs="Arial"/>
          <w:lang w:eastAsia="en-US"/>
        </w:rPr>
        <w:t>0</w:t>
      </w:r>
      <w:r w:rsidRPr="0051032E">
        <w:rPr>
          <w:rFonts w:ascii="Arial" w:eastAsia="Calibri" w:hAnsi="Arial" w:cs="Arial"/>
          <w:lang w:eastAsia="en-US"/>
        </w:rPr>
        <w:t xml:space="preserve"> milhões registrado no </w:t>
      </w:r>
      <w:r w:rsidR="000F39EE" w:rsidRPr="0051032E">
        <w:rPr>
          <w:rFonts w:ascii="Arial" w:eastAsia="Calibri" w:hAnsi="Arial" w:cs="Arial"/>
          <w:lang w:eastAsia="en-US"/>
        </w:rPr>
        <w:t>4</w:t>
      </w:r>
      <w:r w:rsidRPr="0051032E">
        <w:rPr>
          <w:rFonts w:ascii="Arial" w:eastAsia="Calibri" w:hAnsi="Arial" w:cs="Arial"/>
          <w:lang w:eastAsia="en-US"/>
        </w:rPr>
        <w:t>T2</w:t>
      </w:r>
      <w:r w:rsidR="00132FC5" w:rsidRPr="0051032E">
        <w:rPr>
          <w:rFonts w:ascii="Arial" w:eastAsia="Calibri" w:hAnsi="Arial" w:cs="Arial"/>
          <w:lang w:eastAsia="en-US"/>
        </w:rPr>
        <w:t>1</w:t>
      </w:r>
      <w:r w:rsidRPr="0051032E">
        <w:rPr>
          <w:rFonts w:ascii="Arial" w:eastAsia="Calibri" w:hAnsi="Arial" w:cs="Arial"/>
          <w:lang w:eastAsia="en-US"/>
        </w:rPr>
        <w:t>.</w:t>
      </w:r>
      <w:r w:rsidRPr="00F91498">
        <w:rPr>
          <w:rFonts w:ascii="Arial" w:eastAsia="Calibri" w:hAnsi="Arial" w:cs="Arial"/>
          <w:lang w:eastAsia="en-US"/>
        </w:rPr>
        <w:t xml:space="preserve"> </w:t>
      </w:r>
      <w:r w:rsidRPr="008E0713">
        <w:rPr>
          <w:rFonts w:ascii="Arial" w:eastAsia="Calibri" w:hAnsi="Arial" w:cs="Arial"/>
          <w:lang w:eastAsia="en-US"/>
        </w:rPr>
        <w:t xml:space="preserve">O resultado foi impactado </w:t>
      </w:r>
      <w:r w:rsidR="00E05682">
        <w:rPr>
          <w:rFonts w:ascii="Arial" w:eastAsia="Calibri" w:hAnsi="Arial" w:cs="Arial"/>
          <w:lang w:eastAsia="en-US"/>
        </w:rPr>
        <w:t xml:space="preserve">principalmente </w:t>
      </w:r>
      <w:r w:rsidRPr="008E0713">
        <w:rPr>
          <w:rFonts w:ascii="Arial" w:eastAsia="Calibri" w:hAnsi="Arial" w:cs="Arial"/>
          <w:lang w:eastAsia="en-US"/>
        </w:rPr>
        <w:t>pel</w:t>
      </w:r>
      <w:r w:rsidR="00C75CE5" w:rsidRPr="008E0713">
        <w:rPr>
          <w:rFonts w:ascii="Arial" w:eastAsia="Calibri" w:hAnsi="Arial" w:cs="Arial"/>
          <w:lang w:eastAsia="en-US"/>
        </w:rPr>
        <w:t xml:space="preserve">o crescimento </w:t>
      </w:r>
      <w:r w:rsidR="00C75CE5" w:rsidRPr="00330A5C">
        <w:rPr>
          <w:rFonts w:ascii="Arial" w:eastAsia="Calibri" w:hAnsi="Arial" w:cs="Arial"/>
          <w:lang w:eastAsia="en-US"/>
        </w:rPr>
        <w:t xml:space="preserve">de </w:t>
      </w:r>
      <w:r w:rsidR="00330A5C" w:rsidRPr="00330A5C">
        <w:rPr>
          <w:rFonts w:ascii="Arial" w:eastAsia="Calibri" w:hAnsi="Arial" w:cs="Arial"/>
          <w:lang w:eastAsia="en-US"/>
        </w:rPr>
        <w:t>6</w:t>
      </w:r>
      <w:r w:rsidR="00C75CE5" w:rsidRPr="00330A5C">
        <w:rPr>
          <w:rFonts w:ascii="Arial" w:eastAsia="Calibri" w:hAnsi="Arial" w:cs="Arial"/>
          <w:lang w:eastAsia="en-US"/>
        </w:rPr>
        <w:t>,</w:t>
      </w:r>
      <w:r w:rsidR="00330A5C" w:rsidRPr="00330A5C">
        <w:rPr>
          <w:rFonts w:ascii="Arial" w:eastAsia="Calibri" w:hAnsi="Arial" w:cs="Arial"/>
          <w:lang w:eastAsia="en-US"/>
        </w:rPr>
        <w:t>7</w:t>
      </w:r>
      <w:r w:rsidR="00C75CE5" w:rsidRPr="00330A5C">
        <w:rPr>
          <w:rFonts w:ascii="Arial" w:eastAsia="Calibri" w:hAnsi="Arial" w:cs="Arial"/>
          <w:lang w:eastAsia="en-US"/>
        </w:rPr>
        <w:t>%</w:t>
      </w:r>
      <w:r w:rsidRPr="008E0713">
        <w:rPr>
          <w:rFonts w:ascii="Arial" w:eastAsia="Calibri" w:hAnsi="Arial" w:cs="Arial"/>
          <w:lang w:eastAsia="en-US"/>
        </w:rPr>
        <w:t xml:space="preserve"> da receita operacional líquida</w:t>
      </w:r>
      <w:r w:rsidR="00132FC5">
        <w:rPr>
          <w:rFonts w:ascii="Arial" w:eastAsia="Calibri" w:hAnsi="Arial" w:cs="Arial"/>
          <w:lang w:eastAsia="en-US"/>
        </w:rPr>
        <w:t xml:space="preserve"> </w:t>
      </w:r>
      <w:r w:rsidR="00132FC5" w:rsidRPr="00825023">
        <w:rPr>
          <w:rFonts w:ascii="Arial" w:eastAsia="Calibri" w:hAnsi="Arial" w:cs="Arial"/>
          <w:lang w:eastAsia="en-US"/>
        </w:rPr>
        <w:t>e pelo aumento</w:t>
      </w:r>
      <w:r w:rsidR="00132FC5">
        <w:rPr>
          <w:rFonts w:ascii="Arial" w:eastAsia="Calibri" w:hAnsi="Arial" w:cs="Arial"/>
          <w:lang w:eastAsia="en-US"/>
        </w:rPr>
        <w:t xml:space="preserve"> </w:t>
      </w:r>
      <w:r w:rsidR="00132FC5" w:rsidRPr="00825023">
        <w:rPr>
          <w:rFonts w:ascii="Arial" w:eastAsia="Calibri" w:hAnsi="Arial" w:cs="Arial"/>
          <w:lang w:eastAsia="en-US"/>
        </w:rPr>
        <w:t>das Receitas Financeiras</w:t>
      </w:r>
      <w:r w:rsidRPr="008E0713">
        <w:rPr>
          <w:rFonts w:ascii="Arial" w:eastAsia="Calibri" w:hAnsi="Arial" w:cs="Arial"/>
          <w:lang w:eastAsia="en-US"/>
        </w:rPr>
        <w:t>.</w:t>
      </w:r>
    </w:p>
    <w:p w14:paraId="4CA5C556" w14:textId="7873B167"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p>
    <w:p w14:paraId="0969BA3A" w14:textId="3819F5A6"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56F1AC15" w14:textId="1063861C"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551CA9E6" w14:textId="47AED291"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18D0E1BD" w14:textId="2070DA11"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246A7FD1" w14:textId="24B62CE6"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7BE54154" w14:textId="25082230"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441449DA" w14:textId="596215CC"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22EB18A4" w14:textId="301D03C7"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6426A59C" w14:textId="39AC33FA" w:rsidR="003637F3" w:rsidRDefault="003637F3" w:rsidP="00A263FE">
      <w:pPr>
        <w:tabs>
          <w:tab w:val="num" w:pos="-993"/>
        </w:tabs>
        <w:spacing w:after="160" w:line="259" w:lineRule="auto"/>
        <w:ind w:left="-993" w:right="226"/>
        <w:contextualSpacing/>
        <w:jc w:val="both"/>
        <w:rPr>
          <w:rFonts w:ascii="Arial" w:eastAsia="Calibri" w:hAnsi="Arial" w:cs="Arial"/>
          <w:lang w:eastAsia="en-US"/>
        </w:rPr>
      </w:pPr>
    </w:p>
    <w:p w14:paraId="0E90482A" w14:textId="209F38C8"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lastRenderedPageBreak/>
        <w:t xml:space="preserve">A seguir apresentamos a reclassificação do resultado do </w:t>
      </w:r>
      <w:r w:rsidR="000F39EE">
        <w:rPr>
          <w:rFonts w:ascii="Arial" w:eastAsia="Calibri" w:hAnsi="Arial" w:cs="Arial"/>
          <w:lang w:eastAsia="en-US"/>
        </w:rPr>
        <w:t>4</w:t>
      </w:r>
      <w:r w:rsidRPr="000A04CB">
        <w:rPr>
          <w:rFonts w:ascii="Arial" w:eastAsia="Calibri" w:hAnsi="Arial" w:cs="Arial"/>
          <w:lang w:eastAsia="en-US"/>
        </w:rPr>
        <w:t>T2</w:t>
      </w:r>
      <w:r w:rsidR="00132FC5">
        <w:rPr>
          <w:rFonts w:ascii="Arial" w:eastAsia="Calibri" w:hAnsi="Arial" w:cs="Arial"/>
          <w:lang w:eastAsia="en-US"/>
        </w:rPr>
        <w:t>2</w:t>
      </w:r>
      <w:r w:rsidRPr="000A04CB">
        <w:rPr>
          <w:rFonts w:ascii="Arial" w:eastAsia="Calibri" w:hAnsi="Arial" w:cs="Arial"/>
          <w:lang w:eastAsia="en-US"/>
        </w:rPr>
        <w:t xml:space="preserve"> excluindo os itens não recorrentes:</w:t>
      </w:r>
    </w:p>
    <w:p w14:paraId="502D3784" w14:textId="77777777" w:rsidR="00350C32" w:rsidRPr="00F40C9D" w:rsidRDefault="00350C32" w:rsidP="00A263FE">
      <w:pPr>
        <w:tabs>
          <w:tab w:val="num" w:pos="-993"/>
        </w:tabs>
        <w:spacing w:after="160" w:line="259" w:lineRule="auto"/>
        <w:ind w:left="-993" w:right="226"/>
        <w:contextualSpacing/>
        <w:jc w:val="both"/>
        <w:rPr>
          <w:rFonts w:ascii="Arial" w:eastAsia="Calibri" w:hAnsi="Arial" w:cs="Arial"/>
          <w:lang w:eastAsia="en-US"/>
        </w:rPr>
      </w:pPr>
    </w:p>
    <w:bookmarkStart w:id="15" w:name="_MON_1624953105"/>
    <w:bookmarkEnd w:id="15"/>
    <w:p w14:paraId="71B7AEFF" w14:textId="13E15B8C" w:rsidR="00350C32" w:rsidRDefault="00E05DF7" w:rsidP="00A263FE">
      <w:pPr>
        <w:tabs>
          <w:tab w:val="num" w:pos="-993"/>
        </w:tabs>
        <w:spacing w:after="160" w:line="259" w:lineRule="auto"/>
        <w:ind w:left="-993" w:right="226"/>
        <w:contextualSpacing/>
        <w:jc w:val="both"/>
        <w:rPr>
          <w:rFonts w:ascii="Arial" w:eastAsia="Calibri" w:hAnsi="Arial" w:cs="Arial"/>
          <w:lang w:eastAsia="en-US"/>
        </w:rPr>
      </w:pPr>
      <w:r w:rsidRPr="00EC7340">
        <w:rPr>
          <w:rFonts w:ascii="Arial" w:eastAsia="Calibri" w:hAnsi="Arial" w:cs="Arial"/>
          <w:sz w:val="23"/>
          <w:szCs w:val="23"/>
          <w:lang w:eastAsia="en-US"/>
        </w:rPr>
        <w:object w:dxaOrig="12622" w:dyaOrig="2667" w14:anchorId="1AA2FBE2">
          <v:shape id="_x0000_i1038" type="#_x0000_t75" style="width:533.2pt;height:128.4pt" o:ole="">
            <v:imagedata r:id="rId38" o:title=""/>
          </v:shape>
          <o:OLEObject Type="Embed" ProgID="Excel.Sheet.12" ShapeID="_x0000_i1038" DrawAspect="Content" ObjectID="_1737529300" r:id="rId39"/>
        </w:object>
      </w:r>
    </w:p>
    <w:p w14:paraId="6E30D412" w14:textId="77777777" w:rsidR="003637F3" w:rsidRPr="003637F3" w:rsidRDefault="003637F3" w:rsidP="00A263FE">
      <w:pPr>
        <w:tabs>
          <w:tab w:val="num" w:pos="-993"/>
        </w:tabs>
        <w:ind w:left="-993" w:right="226"/>
        <w:jc w:val="both"/>
        <w:rPr>
          <w:rFonts w:ascii="Arial" w:eastAsia="Calibri" w:hAnsi="Arial" w:cs="Arial"/>
          <w:sz w:val="10"/>
          <w:szCs w:val="10"/>
          <w:lang w:eastAsia="en-US"/>
        </w:rPr>
      </w:pPr>
      <w:bookmarkStart w:id="16" w:name="_MON_1624953105"/>
      <w:bookmarkStart w:id="17" w:name="_MON_1624361129"/>
      <w:bookmarkEnd w:id="16"/>
      <w:bookmarkEnd w:id="17"/>
    </w:p>
    <w:p w14:paraId="2EC169FE" w14:textId="6CF42B5F" w:rsidR="00350C32" w:rsidRDefault="00350C32" w:rsidP="00A263FE">
      <w:pPr>
        <w:tabs>
          <w:tab w:val="num" w:pos="-993"/>
        </w:tabs>
        <w:ind w:left="-993" w:right="226"/>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300A0EA1" w14:textId="77777777" w:rsidR="00FD0885" w:rsidRPr="00F40C9D" w:rsidRDefault="00FD0885" w:rsidP="00A263FE">
      <w:pPr>
        <w:tabs>
          <w:tab w:val="num" w:pos="-993"/>
        </w:tabs>
        <w:ind w:left="-993" w:right="226"/>
        <w:jc w:val="both"/>
        <w:rPr>
          <w:rFonts w:ascii="Arial" w:eastAsia="Calibri" w:hAnsi="Arial" w:cs="Arial"/>
          <w:lang w:eastAsia="en-US"/>
        </w:rPr>
      </w:pPr>
    </w:p>
    <w:bookmarkStart w:id="18" w:name="_MON_1603610574"/>
    <w:bookmarkEnd w:id="18"/>
    <w:p w14:paraId="1723D5FD" w14:textId="2508C36F" w:rsidR="00350C32" w:rsidRDefault="00697CDF" w:rsidP="00A263FE">
      <w:pPr>
        <w:tabs>
          <w:tab w:val="num" w:pos="-993"/>
        </w:tabs>
        <w:ind w:left="-993" w:right="226"/>
        <w:jc w:val="both"/>
        <w:rPr>
          <w:rFonts w:ascii="Arial" w:eastAsia="Calibri" w:hAnsi="Arial" w:cs="Arial"/>
          <w:lang w:eastAsia="en-US"/>
        </w:rPr>
      </w:pPr>
      <w:r w:rsidRPr="00EC7340">
        <w:rPr>
          <w:rFonts w:ascii="Arial" w:eastAsia="Calibri" w:hAnsi="Arial" w:cs="Arial"/>
          <w:lang w:eastAsia="en-US"/>
        </w:rPr>
        <w:object w:dxaOrig="10276" w:dyaOrig="2694" w14:anchorId="79A5C106">
          <v:shape id="_x0000_i1039" type="#_x0000_t75" style="width:529.8pt;height:139.25pt" o:ole="">
            <v:imagedata r:id="rId40" o:title=""/>
          </v:shape>
          <o:OLEObject Type="Embed" ProgID="Excel.Sheet.12" ShapeID="_x0000_i1039" DrawAspect="Content" ObjectID="_1737529301" r:id="rId41"/>
        </w:object>
      </w:r>
    </w:p>
    <w:p w14:paraId="5D712B43" w14:textId="77777777" w:rsidR="00D628EB" w:rsidRDefault="00D628EB" w:rsidP="00D628EB">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 xml:space="preserve">A estratégia de crescimento e desenvolvimento da SANEPAR, para operar </w:t>
      </w:r>
      <w:r>
        <w:rPr>
          <w:rFonts w:ascii="Arial" w:eastAsia="Calibri" w:hAnsi="Arial" w:cs="Arial"/>
          <w:lang w:eastAsia="en-US"/>
        </w:rPr>
        <w:t>em um</w:t>
      </w:r>
      <w:r w:rsidRPr="000A04CB">
        <w:rPr>
          <w:rFonts w:ascii="Arial" w:eastAsia="Calibri" w:hAnsi="Arial" w:cs="Arial"/>
          <w:lang w:eastAsia="en-US"/>
        </w:rPr>
        <w:t xml:space="preserve"> mercado de serviços públicos, também liberado à iniciativa privada, está baseada na busca de resultados efetivos, comprometimento com a qualidade dos serviços prestados e principalmente atendimento às necessidades do poder concedente e acionistas.</w:t>
      </w:r>
    </w:p>
    <w:p w14:paraId="59958803" w14:textId="77777777" w:rsidR="00D628EB" w:rsidRDefault="00D628EB" w:rsidP="00D628EB">
      <w:pPr>
        <w:tabs>
          <w:tab w:val="num" w:pos="-993"/>
        </w:tabs>
        <w:spacing w:after="160" w:line="259" w:lineRule="auto"/>
        <w:ind w:left="-993" w:right="226"/>
        <w:contextualSpacing/>
        <w:jc w:val="both"/>
        <w:rPr>
          <w:rFonts w:ascii="Arial" w:eastAsia="Calibri" w:hAnsi="Arial" w:cs="Arial"/>
          <w:lang w:eastAsia="en-US"/>
        </w:rPr>
      </w:pPr>
    </w:p>
    <w:p w14:paraId="588FB501" w14:textId="77777777" w:rsidR="00D628EB" w:rsidRDefault="00D628EB" w:rsidP="00D628EB">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 xml:space="preserve">Os números a seguir demonstram os resultados econômico-financeiros que a Companhia vem alcançando para sustentação de programas de investimentos, propiciando as condições adequadas para </w:t>
      </w:r>
      <w:r>
        <w:rPr>
          <w:rFonts w:ascii="Arial" w:eastAsia="Calibri" w:hAnsi="Arial" w:cs="Arial"/>
          <w:lang w:eastAsia="en-US"/>
        </w:rPr>
        <w:t>atingir a universalização prevista pelo novo marco legal do saneamento</w:t>
      </w:r>
      <w:r w:rsidRPr="000A04CB">
        <w:rPr>
          <w:rFonts w:ascii="Arial" w:eastAsia="Calibri" w:hAnsi="Arial" w:cs="Arial"/>
          <w:lang w:eastAsia="en-US"/>
        </w:rPr>
        <w:t>.</w:t>
      </w:r>
    </w:p>
    <w:p w14:paraId="168A303F" w14:textId="77777777" w:rsidR="00350C32" w:rsidRPr="00F40C9D" w:rsidRDefault="00350C32" w:rsidP="00A263FE">
      <w:pPr>
        <w:tabs>
          <w:tab w:val="num" w:pos="-993"/>
        </w:tabs>
        <w:spacing w:after="160" w:line="259" w:lineRule="auto"/>
        <w:ind w:left="-993" w:right="226"/>
        <w:contextualSpacing/>
        <w:jc w:val="both"/>
        <w:rPr>
          <w:rFonts w:ascii="Arial" w:eastAsia="Calibri" w:hAnsi="Arial" w:cs="Arial"/>
          <w:sz w:val="28"/>
          <w:szCs w:val="28"/>
          <w:lang w:eastAsia="en-US"/>
        </w:rPr>
      </w:pPr>
    </w:p>
    <w:bookmarkStart w:id="19" w:name="_MON_1603611168"/>
    <w:bookmarkEnd w:id="19"/>
    <w:p w14:paraId="4E69AD63" w14:textId="5A37BA51" w:rsidR="00350C32" w:rsidRDefault="00E05DF7"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object w:dxaOrig="10632" w:dyaOrig="2440" w14:anchorId="66EAFEA9">
          <v:shape id="_x0000_i1040" type="#_x0000_t75" style="width:530.5pt;height:118.2pt" o:ole="">
            <v:imagedata r:id="rId42" o:title=""/>
          </v:shape>
          <o:OLEObject Type="Embed" ProgID="Excel.Sheet.12" ShapeID="_x0000_i1040" DrawAspect="Content" ObjectID="_1737529302" r:id="rId43"/>
        </w:object>
      </w:r>
    </w:p>
    <w:p w14:paraId="2AD39E60" w14:textId="77777777" w:rsidR="00D628EB" w:rsidRPr="00D628EB" w:rsidRDefault="00D628EB" w:rsidP="00D628EB">
      <w:pPr>
        <w:tabs>
          <w:tab w:val="num" w:pos="-993"/>
        </w:tabs>
        <w:spacing w:after="160" w:line="259" w:lineRule="auto"/>
        <w:ind w:left="-993" w:right="226"/>
        <w:contextualSpacing/>
        <w:jc w:val="both"/>
        <w:rPr>
          <w:rFonts w:ascii="Arial" w:eastAsia="Calibri" w:hAnsi="Arial" w:cs="Arial"/>
          <w:sz w:val="10"/>
          <w:szCs w:val="10"/>
          <w:lang w:eastAsia="en-US"/>
        </w:rPr>
      </w:pPr>
    </w:p>
    <w:p w14:paraId="0915BBA3" w14:textId="21CC0474" w:rsidR="00D628EB" w:rsidRDefault="00D628EB" w:rsidP="00D628EB">
      <w:pPr>
        <w:tabs>
          <w:tab w:val="num" w:pos="-993"/>
        </w:tabs>
        <w:spacing w:after="160" w:line="259" w:lineRule="auto"/>
        <w:ind w:left="-993" w:right="226"/>
        <w:contextualSpacing/>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Pr>
          <w:rFonts w:ascii="Arial" w:eastAsia="Calibri" w:hAnsi="Arial" w:cs="Arial"/>
          <w:sz w:val="18"/>
          <w:szCs w:val="18"/>
          <w:lang w:eastAsia="en-US"/>
        </w:rPr>
        <w:t xml:space="preserve">auditada ou não </w:t>
      </w:r>
      <w:r w:rsidRPr="00EC7340">
        <w:rPr>
          <w:rFonts w:ascii="Arial" w:eastAsia="Calibri" w:hAnsi="Arial" w:cs="Arial"/>
          <w:sz w:val="18"/>
          <w:szCs w:val="18"/>
          <w:lang w:eastAsia="en-US"/>
        </w:rPr>
        <w:t>revisada pelos auditores independentes.</w:t>
      </w:r>
    </w:p>
    <w:p w14:paraId="30DFCD6B" w14:textId="77777777" w:rsidR="00F40C9D" w:rsidRDefault="00F40C9D" w:rsidP="00A263FE">
      <w:pPr>
        <w:tabs>
          <w:tab w:val="num" w:pos="-993"/>
        </w:tabs>
        <w:spacing w:after="160" w:line="259" w:lineRule="auto"/>
        <w:ind w:left="-993" w:right="226"/>
        <w:contextualSpacing/>
        <w:jc w:val="both"/>
        <w:rPr>
          <w:rFonts w:ascii="Arial" w:eastAsia="Calibri" w:hAnsi="Arial" w:cs="Arial"/>
          <w:sz w:val="18"/>
          <w:szCs w:val="18"/>
          <w:lang w:eastAsia="en-US"/>
        </w:rPr>
      </w:pPr>
    </w:p>
    <w:p w14:paraId="4C5D6D24" w14:textId="52BC58D8"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 xml:space="preserve">No encerramento do </w:t>
      </w:r>
      <w:r w:rsidR="00D21741">
        <w:rPr>
          <w:rFonts w:ascii="Arial" w:eastAsia="Calibri" w:hAnsi="Arial" w:cs="Arial"/>
          <w:lang w:eastAsia="en-US"/>
        </w:rPr>
        <w:t>4</w:t>
      </w:r>
      <w:r w:rsidRPr="000A04CB">
        <w:rPr>
          <w:rFonts w:ascii="Arial" w:eastAsia="Calibri" w:hAnsi="Arial" w:cs="Arial"/>
          <w:lang w:eastAsia="en-US"/>
        </w:rPr>
        <w:t>T2</w:t>
      </w:r>
      <w:r w:rsidR="00D628EB">
        <w:rPr>
          <w:rFonts w:ascii="Arial" w:eastAsia="Calibri" w:hAnsi="Arial" w:cs="Arial"/>
          <w:lang w:eastAsia="en-US"/>
        </w:rPr>
        <w:t>2</w:t>
      </w:r>
      <w:r w:rsidRPr="000A04CB">
        <w:rPr>
          <w:rFonts w:ascii="Arial" w:eastAsia="Calibri" w:hAnsi="Arial" w:cs="Arial"/>
          <w:lang w:eastAsia="en-US"/>
        </w:rPr>
        <w:t xml:space="preserve">, os ativos totais da Companhia </w:t>
      </w:r>
      <w:r w:rsidRPr="000C10FE">
        <w:rPr>
          <w:rFonts w:ascii="Arial" w:eastAsia="Calibri" w:hAnsi="Arial" w:cs="Arial"/>
          <w:lang w:eastAsia="en-US"/>
        </w:rPr>
        <w:t xml:space="preserve">atingiram </w:t>
      </w:r>
      <w:r w:rsidRPr="00997268">
        <w:rPr>
          <w:rFonts w:ascii="Arial" w:eastAsia="Calibri" w:hAnsi="Arial" w:cs="Arial"/>
          <w:lang w:eastAsia="en-US"/>
        </w:rPr>
        <w:t>R$</w:t>
      </w:r>
      <w:r w:rsidR="00A96D1D" w:rsidRPr="00997268">
        <w:rPr>
          <w:rFonts w:ascii="Arial" w:eastAsia="Calibri" w:hAnsi="Arial" w:cs="Arial"/>
          <w:lang w:eastAsia="en-US"/>
        </w:rPr>
        <w:t>1</w:t>
      </w:r>
      <w:r w:rsidR="00997268" w:rsidRPr="00997268">
        <w:rPr>
          <w:rFonts w:ascii="Arial" w:eastAsia="Calibri" w:hAnsi="Arial" w:cs="Arial"/>
          <w:lang w:eastAsia="en-US"/>
        </w:rPr>
        <w:t>6</w:t>
      </w:r>
      <w:r w:rsidR="00A96D1D" w:rsidRPr="00997268">
        <w:rPr>
          <w:rFonts w:ascii="Arial" w:eastAsia="Calibri" w:hAnsi="Arial" w:cs="Arial"/>
          <w:lang w:eastAsia="en-US"/>
        </w:rPr>
        <w:t>.</w:t>
      </w:r>
      <w:r w:rsidR="00997268" w:rsidRPr="00997268">
        <w:rPr>
          <w:rFonts w:ascii="Arial" w:eastAsia="Calibri" w:hAnsi="Arial" w:cs="Arial"/>
          <w:lang w:eastAsia="en-US"/>
        </w:rPr>
        <w:t>657</w:t>
      </w:r>
      <w:r w:rsidRPr="00997268">
        <w:rPr>
          <w:rFonts w:ascii="Arial" w:eastAsia="Calibri" w:hAnsi="Arial" w:cs="Arial"/>
          <w:lang w:eastAsia="en-US"/>
        </w:rPr>
        <w:t>,</w:t>
      </w:r>
      <w:r w:rsidR="00997268" w:rsidRPr="00997268">
        <w:rPr>
          <w:rFonts w:ascii="Arial" w:eastAsia="Calibri" w:hAnsi="Arial" w:cs="Arial"/>
          <w:lang w:eastAsia="en-US"/>
        </w:rPr>
        <w:t>2</w:t>
      </w:r>
      <w:r w:rsidRPr="000C10FE">
        <w:rPr>
          <w:rFonts w:ascii="Arial" w:eastAsia="Calibri" w:hAnsi="Arial" w:cs="Arial"/>
          <w:lang w:eastAsia="en-US"/>
        </w:rPr>
        <w:t xml:space="preserve"> milhões</w:t>
      </w:r>
      <w:r w:rsidRPr="000A04CB">
        <w:rPr>
          <w:rFonts w:ascii="Arial" w:eastAsia="Calibri" w:hAnsi="Arial" w:cs="Arial"/>
          <w:lang w:eastAsia="en-US"/>
        </w:rPr>
        <w:t xml:space="preserve"> (R$</w:t>
      </w:r>
      <w:r w:rsidR="00D628EB">
        <w:rPr>
          <w:rFonts w:ascii="Arial" w:eastAsia="Calibri" w:hAnsi="Arial" w:cs="Arial"/>
          <w:lang w:eastAsia="en-US"/>
        </w:rPr>
        <w:t>14</w:t>
      </w:r>
      <w:r w:rsidRPr="000A04CB">
        <w:rPr>
          <w:rFonts w:ascii="Arial" w:eastAsia="Calibri" w:hAnsi="Arial" w:cs="Arial"/>
          <w:lang w:eastAsia="en-US"/>
        </w:rPr>
        <w:t>.</w:t>
      </w:r>
      <w:r w:rsidR="00D628EB">
        <w:rPr>
          <w:rFonts w:ascii="Arial" w:eastAsia="Calibri" w:hAnsi="Arial" w:cs="Arial"/>
          <w:lang w:eastAsia="en-US"/>
        </w:rPr>
        <w:t>640</w:t>
      </w:r>
      <w:r w:rsidRPr="000A04CB">
        <w:rPr>
          <w:rFonts w:ascii="Arial" w:eastAsia="Calibri" w:hAnsi="Arial" w:cs="Arial"/>
          <w:lang w:eastAsia="en-US"/>
        </w:rPr>
        <w:t>,</w:t>
      </w:r>
      <w:r w:rsidR="00D628EB">
        <w:rPr>
          <w:rFonts w:ascii="Arial" w:eastAsia="Calibri" w:hAnsi="Arial" w:cs="Arial"/>
          <w:lang w:eastAsia="en-US"/>
        </w:rPr>
        <w:t>6</w:t>
      </w:r>
      <w:r w:rsidRPr="000A04CB">
        <w:rPr>
          <w:rFonts w:ascii="Arial" w:eastAsia="Calibri" w:hAnsi="Arial" w:cs="Arial"/>
          <w:lang w:eastAsia="en-US"/>
        </w:rPr>
        <w:t xml:space="preserve"> milhões em 31/12/20</w:t>
      </w:r>
      <w:r>
        <w:rPr>
          <w:rFonts w:ascii="Arial" w:eastAsia="Calibri" w:hAnsi="Arial" w:cs="Arial"/>
          <w:lang w:eastAsia="en-US"/>
        </w:rPr>
        <w:t>2</w:t>
      </w:r>
      <w:r w:rsidR="00D628EB">
        <w:rPr>
          <w:rFonts w:ascii="Arial" w:eastAsia="Calibri" w:hAnsi="Arial" w:cs="Arial"/>
          <w:lang w:eastAsia="en-US"/>
        </w:rPr>
        <w:t>1</w:t>
      </w:r>
      <w:r w:rsidRPr="000A04CB">
        <w:rPr>
          <w:rFonts w:ascii="Arial" w:eastAsia="Calibri" w:hAnsi="Arial" w:cs="Arial"/>
          <w:lang w:eastAsia="en-US"/>
        </w:rPr>
        <w:t xml:space="preserve">), enquanto as dívidas totais ao final do </w:t>
      </w:r>
      <w:r w:rsidR="00D21741">
        <w:rPr>
          <w:rFonts w:ascii="Arial" w:eastAsia="Calibri" w:hAnsi="Arial" w:cs="Arial"/>
          <w:lang w:eastAsia="en-US"/>
        </w:rPr>
        <w:t>4</w:t>
      </w:r>
      <w:r w:rsidRPr="000A04CB">
        <w:rPr>
          <w:rFonts w:ascii="Arial" w:eastAsia="Calibri" w:hAnsi="Arial" w:cs="Arial"/>
          <w:lang w:eastAsia="en-US"/>
        </w:rPr>
        <w:t>T2</w:t>
      </w:r>
      <w:r w:rsidR="00D628EB">
        <w:rPr>
          <w:rFonts w:ascii="Arial" w:eastAsia="Calibri" w:hAnsi="Arial" w:cs="Arial"/>
          <w:lang w:eastAsia="en-US"/>
        </w:rPr>
        <w:t>2</w:t>
      </w:r>
      <w:r w:rsidRPr="000A04CB">
        <w:rPr>
          <w:rFonts w:ascii="Arial" w:eastAsia="Calibri" w:hAnsi="Arial" w:cs="Arial"/>
          <w:lang w:eastAsia="en-US"/>
        </w:rPr>
        <w:t xml:space="preserve"> eram de </w:t>
      </w:r>
      <w:r w:rsidRPr="00997268">
        <w:rPr>
          <w:rFonts w:ascii="Arial" w:eastAsia="Calibri" w:hAnsi="Arial" w:cs="Arial"/>
          <w:lang w:eastAsia="en-US"/>
        </w:rPr>
        <w:t>R$</w:t>
      </w:r>
      <w:r w:rsidR="00997268" w:rsidRPr="00997268">
        <w:rPr>
          <w:rFonts w:ascii="Arial" w:eastAsia="Calibri" w:hAnsi="Arial" w:cs="Arial"/>
          <w:lang w:eastAsia="en-US"/>
        </w:rPr>
        <w:t>7</w:t>
      </w:r>
      <w:r w:rsidRPr="00997268">
        <w:rPr>
          <w:rFonts w:ascii="Arial" w:eastAsia="Calibri" w:hAnsi="Arial" w:cs="Arial"/>
          <w:lang w:eastAsia="en-US"/>
        </w:rPr>
        <w:t>.</w:t>
      </w:r>
      <w:r w:rsidR="00997268" w:rsidRPr="00997268">
        <w:rPr>
          <w:rFonts w:ascii="Arial" w:eastAsia="Calibri" w:hAnsi="Arial" w:cs="Arial"/>
          <w:lang w:eastAsia="en-US"/>
        </w:rPr>
        <w:t>870</w:t>
      </w:r>
      <w:r w:rsidR="00A96D1D" w:rsidRPr="00997268">
        <w:rPr>
          <w:rFonts w:ascii="Arial" w:eastAsia="Calibri" w:hAnsi="Arial" w:cs="Arial"/>
          <w:lang w:eastAsia="en-US"/>
        </w:rPr>
        <w:t>,</w:t>
      </w:r>
      <w:r w:rsidR="00997268" w:rsidRPr="00997268">
        <w:rPr>
          <w:rFonts w:ascii="Arial" w:eastAsia="Calibri" w:hAnsi="Arial" w:cs="Arial"/>
          <w:lang w:eastAsia="en-US"/>
        </w:rPr>
        <w:t>3</w:t>
      </w:r>
      <w:r w:rsidR="00BF018E" w:rsidRPr="000A04CB">
        <w:rPr>
          <w:rFonts w:ascii="Arial" w:eastAsia="Calibri" w:hAnsi="Arial" w:cs="Arial"/>
          <w:lang w:eastAsia="en-US"/>
        </w:rPr>
        <w:t xml:space="preserve"> </w:t>
      </w:r>
      <w:r w:rsidRPr="000A04CB">
        <w:rPr>
          <w:rFonts w:ascii="Arial" w:eastAsia="Calibri" w:hAnsi="Arial" w:cs="Arial"/>
          <w:lang w:eastAsia="en-US"/>
        </w:rPr>
        <w:t>milhões (R$</w:t>
      </w:r>
      <w:r>
        <w:rPr>
          <w:rFonts w:ascii="Arial" w:eastAsia="Calibri" w:hAnsi="Arial" w:cs="Arial"/>
          <w:lang w:eastAsia="en-US"/>
        </w:rPr>
        <w:t>6</w:t>
      </w:r>
      <w:r w:rsidRPr="000A04CB">
        <w:rPr>
          <w:rFonts w:ascii="Arial" w:eastAsia="Calibri" w:hAnsi="Arial" w:cs="Arial"/>
          <w:lang w:eastAsia="en-US"/>
        </w:rPr>
        <w:t>.</w:t>
      </w:r>
      <w:r w:rsidR="00D628EB">
        <w:rPr>
          <w:rFonts w:ascii="Arial" w:eastAsia="Calibri" w:hAnsi="Arial" w:cs="Arial"/>
          <w:lang w:eastAsia="en-US"/>
        </w:rPr>
        <w:t>814</w:t>
      </w:r>
      <w:r w:rsidRPr="000A04CB">
        <w:rPr>
          <w:rFonts w:ascii="Arial" w:eastAsia="Calibri" w:hAnsi="Arial" w:cs="Arial"/>
          <w:lang w:eastAsia="en-US"/>
        </w:rPr>
        <w:t>,</w:t>
      </w:r>
      <w:r w:rsidR="00D628EB">
        <w:rPr>
          <w:rFonts w:ascii="Arial" w:eastAsia="Calibri" w:hAnsi="Arial" w:cs="Arial"/>
          <w:lang w:eastAsia="en-US"/>
        </w:rPr>
        <w:t>3</w:t>
      </w:r>
      <w:r w:rsidRPr="000A04CB">
        <w:rPr>
          <w:rFonts w:ascii="Arial" w:eastAsia="Calibri" w:hAnsi="Arial" w:cs="Arial"/>
          <w:lang w:eastAsia="en-US"/>
        </w:rPr>
        <w:t xml:space="preserve"> milhões em 31/12/20</w:t>
      </w:r>
      <w:r>
        <w:rPr>
          <w:rFonts w:ascii="Arial" w:eastAsia="Calibri" w:hAnsi="Arial" w:cs="Arial"/>
          <w:lang w:eastAsia="en-US"/>
        </w:rPr>
        <w:t>2</w:t>
      </w:r>
      <w:r w:rsidR="00D628EB">
        <w:rPr>
          <w:rFonts w:ascii="Arial" w:eastAsia="Calibri" w:hAnsi="Arial" w:cs="Arial"/>
          <w:lang w:eastAsia="en-US"/>
        </w:rPr>
        <w:t>1</w:t>
      </w:r>
      <w:r w:rsidRPr="000A04CB">
        <w:rPr>
          <w:rFonts w:ascii="Arial" w:eastAsia="Calibri" w:hAnsi="Arial" w:cs="Arial"/>
          <w:lang w:eastAsia="en-US"/>
        </w:rPr>
        <w:t>).</w:t>
      </w:r>
    </w:p>
    <w:p w14:paraId="3730D6DE" w14:textId="77777777" w:rsidR="00350C32" w:rsidRPr="00213F73" w:rsidRDefault="00350C32" w:rsidP="00A263FE">
      <w:pPr>
        <w:tabs>
          <w:tab w:val="num" w:pos="-993"/>
        </w:tabs>
        <w:spacing w:after="160" w:line="259" w:lineRule="auto"/>
        <w:ind w:left="-993" w:right="226"/>
        <w:contextualSpacing/>
        <w:jc w:val="both"/>
        <w:rPr>
          <w:rFonts w:ascii="Arial" w:eastAsia="Calibri" w:hAnsi="Arial" w:cs="Arial"/>
          <w:lang w:eastAsia="en-US"/>
        </w:rPr>
      </w:pPr>
    </w:p>
    <w:p w14:paraId="67AFE5DA" w14:textId="5B7C8B48" w:rsidR="00350C32" w:rsidRPr="000A04CB"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 xml:space="preserve">Do montante da dívida total, </w:t>
      </w:r>
      <w:r w:rsidRPr="006558F9">
        <w:rPr>
          <w:rFonts w:ascii="Arial" w:eastAsia="Calibri" w:hAnsi="Arial" w:cs="Arial"/>
          <w:lang w:eastAsia="en-US"/>
        </w:rPr>
        <w:t>R$</w:t>
      </w:r>
      <w:r w:rsidR="006558F9" w:rsidRPr="006558F9">
        <w:rPr>
          <w:rFonts w:ascii="Arial" w:eastAsia="Calibri" w:hAnsi="Arial" w:cs="Arial"/>
          <w:lang w:eastAsia="en-US"/>
        </w:rPr>
        <w:t>5</w:t>
      </w:r>
      <w:r w:rsidRPr="006558F9">
        <w:rPr>
          <w:rFonts w:ascii="Arial" w:eastAsia="Calibri" w:hAnsi="Arial" w:cs="Arial"/>
          <w:lang w:eastAsia="en-US"/>
        </w:rPr>
        <w:t>.</w:t>
      </w:r>
      <w:r w:rsidR="006558F9" w:rsidRPr="006558F9">
        <w:rPr>
          <w:rFonts w:ascii="Arial" w:eastAsia="Calibri" w:hAnsi="Arial" w:cs="Arial"/>
          <w:lang w:eastAsia="en-US"/>
        </w:rPr>
        <w:t>083</w:t>
      </w:r>
      <w:r w:rsidRPr="006558F9">
        <w:rPr>
          <w:rFonts w:ascii="Arial" w:eastAsia="Calibri" w:hAnsi="Arial" w:cs="Arial"/>
          <w:lang w:eastAsia="en-US"/>
        </w:rPr>
        <w:t>,</w:t>
      </w:r>
      <w:r w:rsidR="006558F9" w:rsidRPr="006558F9">
        <w:rPr>
          <w:rFonts w:ascii="Arial" w:eastAsia="Calibri" w:hAnsi="Arial" w:cs="Arial"/>
          <w:lang w:eastAsia="en-US"/>
        </w:rPr>
        <w:t>3</w:t>
      </w:r>
      <w:r w:rsidR="00BF018E" w:rsidRPr="00B809FC">
        <w:rPr>
          <w:rFonts w:ascii="Arial" w:eastAsia="Calibri" w:hAnsi="Arial" w:cs="Arial"/>
          <w:lang w:eastAsia="en-US"/>
        </w:rPr>
        <w:t xml:space="preserve"> </w:t>
      </w:r>
      <w:r w:rsidRPr="00B809FC">
        <w:rPr>
          <w:rFonts w:ascii="Arial" w:eastAsia="Calibri" w:hAnsi="Arial" w:cs="Arial"/>
          <w:lang w:eastAsia="en-US"/>
        </w:rPr>
        <w:t>milhões</w:t>
      </w:r>
      <w:r w:rsidRPr="000A04CB">
        <w:rPr>
          <w:rFonts w:ascii="Arial" w:eastAsia="Calibri" w:hAnsi="Arial" w:cs="Arial"/>
          <w:lang w:eastAsia="en-US"/>
        </w:rPr>
        <w:t xml:space="preserve"> (R$</w:t>
      </w:r>
      <w:r w:rsidR="00D628EB">
        <w:rPr>
          <w:rFonts w:ascii="Arial" w:eastAsia="Calibri" w:hAnsi="Arial" w:cs="Arial"/>
          <w:lang w:eastAsia="en-US"/>
        </w:rPr>
        <w:t>4</w:t>
      </w:r>
      <w:r w:rsidRPr="000A04CB">
        <w:rPr>
          <w:rFonts w:ascii="Arial" w:eastAsia="Calibri" w:hAnsi="Arial" w:cs="Arial"/>
          <w:lang w:eastAsia="en-US"/>
        </w:rPr>
        <w:t>.</w:t>
      </w:r>
      <w:r w:rsidR="00D628EB">
        <w:rPr>
          <w:rFonts w:ascii="Arial" w:eastAsia="Calibri" w:hAnsi="Arial" w:cs="Arial"/>
          <w:lang w:eastAsia="en-US"/>
        </w:rPr>
        <w:t>120</w:t>
      </w:r>
      <w:r w:rsidRPr="000A04CB">
        <w:rPr>
          <w:rFonts w:ascii="Arial" w:eastAsia="Calibri" w:hAnsi="Arial" w:cs="Arial"/>
          <w:lang w:eastAsia="en-US"/>
        </w:rPr>
        <w:t>,</w:t>
      </w:r>
      <w:r>
        <w:rPr>
          <w:rFonts w:ascii="Arial" w:eastAsia="Calibri" w:hAnsi="Arial" w:cs="Arial"/>
          <w:lang w:eastAsia="en-US"/>
        </w:rPr>
        <w:t>6</w:t>
      </w:r>
      <w:r w:rsidRPr="000A04CB">
        <w:rPr>
          <w:rFonts w:ascii="Arial" w:eastAsia="Calibri" w:hAnsi="Arial" w:cs="Arial"/>
          <w:lang w:eastAsia="en-US"/>
        </w:rPr>
        <w:t xml:space="preserve"> milhões em 31/12/20</w:t>
      </w:r>
      <w:r>
        <w:rPr>
          <w:rFonts w:ascii="Arial" w:eastAsia="Calibri" w:hAnsi="Arial" w:cs="Arial"/>
          <w:lang w:eastAsia="en-US"/>
        </w:rPr>
        <w:t>2</w:t>
      </w:r>
      <w:r w:rsidR="00D628EB">
        <w:rPr>
          <w:rFonts w:ascii="Arial" w:eastAsia="Calibri" w:hAnsi="Arial" w:cs="Arial"/>
          <w:lang w:eastAsia="en-US"/>
        </w:rPr>
        <w:t>1</w:t>
      </w:r>
      <w:r w:rsidRPr="000A04CB">
        <w:rPr>
          <w:rFonts w:ascii="Arial" w:eastAsia="Calibri" w:hAnsi="Arial" w:cs="Arial"/>
          <w:lang w:eastAsia="en-US"/>
        </w:rPr>
        <w:t xml:space="preserve">) referem-se </w:t>
      </w:r>
      <w:r w:rsidRPr="005A17D7">
        <w:rPr>
          <w:rFonts w:ascii="Arial" w:eastAsia="Calibri" w:hAnsi="Arial" w:cs="Arial"/>
          <w:lang w:eastAsia="en-US"/>
        </w:rPr>
        <w:t xml:space="preserve">a empréstimos, financiamentos, debêntures e arrendamentos, </w:t>
      </w:r>
      <w:r w:rsidRPr="00B809FC">
        <w:rPr>
          <w:rFonts w:ascii="Arial" w:eastAsia="Calibri" w:hAnsi="Arial" w:cs="Arial"/>
          <w:lang w:eastAsia="en-US"/>
        </w:rPr>
        <w:t xml:space="preserve">apresentando </w:t>
      </w:r>
      <w:r w:rsidRPr="00A96D1D">
        <w:rPr>
          <w:rFonts w:ascii="Arial" w:eastAsia="Calibri" w:hAnsi="Arial" w:cs="Arial"/>
          <w:lang w:eastAsia="en-US"/>
        </w:rPr>
        <w:t xml:space="preserve">acréscimo de </w:t>
      </w:r>
      <w:r w:rsidR="006558F9" w:rsidRPr="006558F9">
        <w:rPr>
          <w:rFonts w:ascii="Arial" w:eastAsia="Calibri" w:hAnsi="Arial" w:cs="Arial"/>
          <w:lang w:eastAsia="en-US"/>
        </w:rPr>
        <w:t>23</w:t>
      </w:r>
      <w:r w:rsidRPr="006558F9">
        <w:rPr>
          <w:rFonts w:ascii="Arial" w:eastAsia="Calibri" w:hAnsi="Arial" w:cs="Arial"/>
          <w:lang w:eastAsia="en-US"/>
        </w:rPr>
        <w:t>,</w:t>
      </w:r>
      <w:r w:rsidR="006558F9" w:rsidRPr="006558F9">
        <w:rPr>
          <w:rFonts w:ascii="Arial" w:eastAsia="Calibri" w:hAnsi="Arial" w:cs="Arial"/>
          <w:lang w:eastAsia="en-US"/>
        </w:rPr>
        <w:t>4</w:t>
      </w:r>
      <w:r w:rsidRPr="006558F9">
        <w:rPr>
          <w:rFonts w:ascii="Arial" w:eastAsia="Calibri" w:hAnsi="Arial" w:cs="Arial"/>
          <w:lang w:eastAsia="en-US"/>
        </w:rPr>
        <w:t>%</w:t>
      </w:r>
      <w:r w:rsidRPr="005A17D7">
        <w:rPr>
          <w:rFonts w:ascii="Arial" w:eastAsia="Calibri" w:hAnsi="Arial" w:cs="Arial"/>
          <w:lang w:eastAsia="en-US"/>
        </w:rPr>
        <w:t xml:space="preserve"> em relação </w:t>
      </w:r>
      <w:r w:rsidR="00984704">
        <w:rPr>
          <w:rFonts w:ascii="Arial" w:eastAsia="Calibri" w:hAnsi="Arial" w:cs="Arial"/>
          <w:lang w:eastAsia="en-US"/>
        </w:rPr>
        <w:t>ao</w:t>
      </w:r>
      <w:r w:rsidRPr="005A17D7">
        <w:rPr>
          <w:rFonts w:ascii="Arial" w:eastAsia="Calibri" w:hAnsi="Arial" w:cs="Arial"/>
          <w:lang w:eastAsia="en-US"/>
        </w:rPr>
        <w:t xml:space="preserve"> exercício de 20</w:t>
      </w:r>
      <w:r>
        <w:rPr>
          <w:rFonts w:ascii="Arial" w:eastAsia="Calibri" w:hAnsi="Arial" w:cs="Arial"/>
          <w:lang w:eastAsia="en-US"/>
        </w:rPr>
        <w:t>2</w:t>
      </w:r>
      <w:r w:rsidR="00D628EB">
        <w:rPr>
          <w:rFonts w:ascii="Arial" w:eastAsia="Calibri" w:hAnsi="Arial" w:cs="Arial"/>
          <w:lang w:eastAsia="en-US"/>
        </w:rPr>
        <w:t>1</w:t>
      </w:r>
      <w:r w:rsidRPr="005A17D7">
        <w:rPr>
          <w:rFonts w:ascii="Arial" w:eastAsia="Calibri" w:hAnsi="Arial" w:cs="Arial"/>
          <w:lang w:eastAsia="en-US"/>
        </w:rPr>
        <w:t>.</w:t>
      </w:r>
    </w:p>
    <w:bookmarkStart w:id="20" w:name="_MON_1603611654"/>
    <w:bookmarkEnd w:id="20"/>
    <w:p w14:paraId="5F55A85A" w14:textId="011E39AE" w:rsidR="00350C32" w:rsidRPr="00EC7340" w:rsidRDefault="002059C6" w:rsidP="00A263FE">
      <w:pPr>
        <w:tabs>
          <w:tab w:val="num" w:pos="-993"/>
        </w:tabs>
        <w:ind w:left="-993" w:right="226"/>
        <w:jc w:val="both"/>
        <w:rPr>
          <w:rFonts w:ascii="Arial" w:eastAsia="Times New Roman" w:hAnsi="Arial" w:cs="Arial"/>
          <w:sz w:val="23"/>
          <w:szCs w:val="23"/>
        </w:rPr>
      </w:pPr>
      <w:r w:rsidRPr="00EC7340">
        <w:rPr>
          <w:rFonts w:ascii="Arial" w:eastAsia="Times New Roman" w:hAnsi="Arial" w:cs="Arial"/>
          <w:sz w:val="23"/>
          <w:szCs w:val="23"/>
        </w:rPr>
        <w:object w:dxaOrig="10245" w:dyaOrig="1673" w14:anchorId="6038806B">
          <v:shape id="_x0000_i1041" type="#_x0000_t75" style="width:533.2pt;height:84.9pt" o:ole="">
            <v:imagedata r:id="rId44" o:title=""/>
          </v:shape>
          <o:OLEObject Type="Embed" ProgID="Excel.Sheet.12" ShapeID="_x0000_i1041" DrawAspect="Content" ObjectID="_1737529303" r:id="rId45"/>
        </w:object>
      </w:r>
    </w:p>
    <w:p w14:paraId="0F4E492A" w14:textId="77777777" w:rsidR="00CF0944" w:rsidRPr="00CF0944" w:rsidRDefault="00CF0944" w:rsidP="00A263FE">
      <w:pPr>
        <w:tabs>
          <w:tab w:val="num" w:pos="-993"/>
        </w:tabs>
        <w:ind w:left="-993" w:right="226"/>
        <w:jc w:val="both"/>
        <w:rPr>
          <w:rFonts w:ascii="Arial" w:eastAsia="Calibri" w:hAnsi="Arial" w:cs="Arial"/>
          <w:sz w:val="10"/>
          <w:szCs w:val="10"/>
          <w:lang w:eastAsia="en-US"/>
        </w:rPr>
      </w:pPr>
    </w:p>
    <w:p w14:paraId="74285B62" w14:textId="6D6D25C1" w:rsidR="00350C32" w:rsidRDefault="00350C32" w:rsidP="00A263FE">
      <w:pPr>
        <w:tabs>
          <w:tab w:val="num" w:pos="-993"/>
        </w:tabs>
        <w:ind w:left="-993" w:right="226"/>
        <w:jc w:val="both"/>
        <w:rPr>
          <w:rFonts w:ascii="Arial" w:eastAsia="Calibri" w:hAnsi="Arial" w:cs="Arial"/>
          <w:sz w:val="18"/>
          <w:szCs w:val="18"/>
          <w:lang w:eastAsia="en-US"/>
        </w:rPr>
      </w:pPr>
      <w:r w:rsidRPr="00EC7340">
        <w:rPr>
          <w:rFonts w:ascii="Arial" w:eastAsia="Calibri" w:hAnsi="Arial" w:cs="Arial"/>
          <w:sz w:val="18"/>
          <w:szCs w:val="18"/>
          <w:lang w:eastAsia="en-US"/>
        </w:rPr>
        <w:t xml:space="preserve">* Informação não </w:t>
      </w:r>
      <w:r w:rsidR="009F769C">
        <w:rPr>
          <w:rFonts w:ascii="Arial" w:eastAsia="Calibri" w:hAnsi="Arial" w:cs="Arial"/>
          <w:sz w:val="18"/>
          <w:szCs w:val="18"/>
          <w:lang w:eastAsia="en-US"/>
        </w:rPr>
        <w:t xml:space="preserve">auditada ou </w:t>
      </w:r>
      <w:r w:rsidRPr="00EC7340">
        <w:rPr>
          <w:rFonts w:ascii="Arial" w:eastAsia="Calibri" w:hAnsi="Arial" w:cs="Arial"/>
          <w:sz w:val="18"/>
          <w:szCs w:val="18"/>
          <w:lang w:eastAsia="en-US"/>
        </w:rPr>
        <w:t>revisada pelos auditores independentes.</w:t>
      </w:r>
    </w:p>
    <w:p w14:paraId="3E414F77" w14:textId="7BE1FFBA" w:rsidR="00BC3533" w:rsidRDefault="00BC3533" w:rsidP="00A263FE">
      <w:pPr>
        <w:tabs>
          <w:tab w:val="num" w:pos="-993"/>
        </w:tabs>
        <w:ind w:left="-993" w:right="226"/>
        <w:jc w:val="both"/>
        <w:rPr>
          <w:rFonts w:ascii="Arial" w:eastAsia="Calibri" w:hAnsi="Arial" w:cs="Arial"/>
          <w:lang w:eastAsia="en-US"/>
        </w:rPr>
      </w:pPr>
    </w:p>
    <w:p w14:paraId="74FB8C08" w14:textId="76089ABB" w:rsidR="00350C32" w:rsidRPr="00EC7340" w:rsidRDefault="00350C32" w:rsidP="00A263FE">
      <w:pPr>
        <w:tabs>
          <w:tab w:val="num" w:pos="-993"/>
        </w:tabs>
        <w:ind w:left="-993" w:right="226"/>
        <w:jc w:val="both"/>
        <w:rPr>
          <w:rFonts w:ascii="Arial" w:eastAsia="Times New Roman" w:hAnsi="Arial" w:cs="Arial"/>
          <w:b/>
          <w:bCs/>
          <w:color w:val="355993"/>
          <w:sz w:val="23"/>
          <w:szCs w:val="23"/>
        </w:rPr>
      </w:pPr>
      <w:r w:rsidRPr="00EC7340">
        <w:rPr>
          <w:rFonts w:ascii="Arial" w:eastAsia="Times New Roman" w:hAnsi="Arial" w:cs="Arial"/>
          <w:b/>
          <w:bCs/>
          <w:color w:val="355993"/>
          <w:sz w:val="23"/>
          <w:szCs w:val="23"/>
        </w:rPr>
        <w:t>EBITDA e Geração de Caixa Operacional</w:t>
      </w:r>
    </w:p>
    <w:p w14:paraId="7137F3C2" w14:textId="77777777" w:rsidR="00350C32" w:rsidRPr="00B73FC4" w:rsidRDefault="00350C32" w:rsidP="00A263FE">
      <w:pPr>
        <w:tabs>
          <w:tab w:val="num" w:pos="-993"/>
        </w:tabs>
        <w:ind w:left="-993" w:right="226"/>
        <w:jc w:val="both"/>
        <w:rPr>
          <w:rFonts w:ascii="Arial" w:eastAsia="Times New Roman" w:hAnsi="Arial" w:cs="Arial"/>
          <w:b/>
          <w:bCs/>
        </w:rPr>
      </w:pPr>
    </w:p>
    <w:p w14:paraId="0A8F4633" w14:textId="19440402"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1274B5">
        <w:rPr>
          <w:rFonts w:ascii="Arial" w:eastAsia="Calibri" w:hAnsi="Arial" w:cs="Arial"/>
          <w:lang w:eastAsia="en-US"/>
        </w:rPr>
        <w:t xml:space="preserve">O EBITDA no </w:t>
      </w:r>
      <w:r w:rsidR="00D21741">
        <w:rPr>
          <w:rFonts w:ascii="Arial" w:eastAsia="Calibri" w:hAnsi="Arial" w:cs="Arial"/>
          <w:lang w:eastAsia="en-US"/>
        </w:rPr>
        <w:t>4</w:t>
      </w:r>
      <w:r w:rsidRPr="001274B5">
        <w:rPr>
          <w:rFonts w:ascii="Arial" w:eastAsia="Calibri" w:hAnsi="Arial" w:cs="Arial"/>
          <w:lang w:eastAsia="en-US"/>
        </w:rPr>
        <w:t>T2</w:t>
      </w:r>
      <w:r w:rsidR="00B73FC4">
        <w:rPr>
          <w:rFonts w:ascii="Arial" w:eastAsia="Calibri" w:hAnsi="Arial" w:cs="Arial"/>
          <w:lang w:eastAsia="en-US"/>
        </w:rPr>
        <w:t>2</w:t>
      </w:r>
      <w:r w:rsidRPr="001274B5">
        <w:rPr>
          <w:rFonts w:ascii="Arial" w:eastAsia="Calibri" w:hAnsi="Arial" w:cs="Arial"/>
          <w:lang w:eastAsia="en-US"/>
        </w:rPr>
        <w:t xml:space="preserve">, que representa o resultado operacional da Companhia, foi de </w:t>
      </w:r>
      <w:r w:rsidRPr="002059C6">
        <w:rPr>
          <w:rFonts w:ascii="Arial" w:eastAsia="Calibri" w:hAnsi="Arial" w:cs="Arial"/>
          <w:lang w:eastAsia="en-US"/>
        </w:rPr>
        <w:t>R$</w:t>
      </w:r>
      <w:r w:rsidR="002059C6" w:rsidRPr="002059C6">
        <w:rPr>
          <w:rFonts w:ascii="Arial" w:eastAsia="Calibri" w:hAnsi="Arial" w:cs="Arial"/>
          <w:lang w:eastAsia="en-US"/>
        </w:rPr>
        <w:t>610</w:t>
      </w:r>
      <w:r w:rsidR="00D75FC8" w:rsidRPr="002059C6">
        <w:rPr>
          <w:rFonts w:ascii="Arial" w:eastAsia="Calibri" w:hAnsi="Arial" w:cs="Arial"/>
          <w:lang w:eastAsia="en-US"/>
        </w:rPr>
        <w:t>,</w:t>
      </w:r>
      <w:r w:rsidR="002059C6" w:rsidRPr="002059C6">
        <w:rPr>
          <w:rFonts w:ascii="Arial" w:eastAsia="Calibri" w:hAnsi="Arial" w:cs="Arial"/>
          <w:lang w:eastAsia="en-US"/>
        </w:rPr>
        <w:t>3</w:t>
      </w:r>
      <w:r w:rsidRPr="00C5786C">
        <w:rPr>
          <w:rFonts w:ascii="Arial" w:eastAsia="Calibri" w:hAnsi="Arial" w:cs="Arial"/>
          <w:lang w:eastAsia="en-US"/>
        </w:rPr>
        <w:t xml:space="preserve"> </w:t>
      </w:r>
      <w:r w:rsidRPr="00724440">
        <w:rPr>
          <w:rFonts w:ascii="Arial" w:eastAsia="Calibri" w:hAnsi="Arial" w:cs="Arial"/>
          <w:lang w:eastAsia="en-US"/>
        </w:rPr>
        <w:t>milhões, contra</w:t>
      </w:r>
      <w:r w:rsidRPr="001274B5">
        <w:rPr>
          <w:rFonts w:ascii="Arial" w:eastAsia="Calibri" w:hAnsi="Arial" w:cs="Arial"/>
          <w:lang w:eastAsia="en-US"/>
        </w:rPr>
        <w:t xml:space="preserve"> R$</w:t>
      </w:r>
      <w:r w:rsidR="00B73FC4">
        <w:rPr>
          <w:rFonts w:ascii="Arial" w:eastAsia="Calibri" w:hAnsi="Arial" w:cs="Arial"/>
          <w:lang w:eastAsia="en-US"/>
        </w:rPr>
        <w:t>576</w:t>
      </w:r>
      <w:r w:rsidRPr="001274B5">
        <w:rPr>
          <w:rFonts w:ascii="Arial" w:eastAsia="Calibri" w:hAnsi="Arial" w:cs="Arial"/>
          <w:lang w:eastAsia="en-US"/>
        </w:rPr>
        <w:t>,</w:t>
      </w:r>
      <w:r w:rsidR="00B73FC4">
        <w:rPr>
          <w:rFonts w:ascii="Arial" w:eastAsia="Calibri" w:hAnsi="Arial" w:cs="Arial"/>
          <w:lang w:eastAsia="en-US"/>
        </w:rPr>
        <w:t>5</w:t>
      </w:r>
      <w:r w:rsidRPr="001274B5">
        <w:rPr>
          <w:rFonts w:ascii="Arial" w:eastAsia="Calibri" w:hAnsi="Arial" w:cs="Arial"/>
          <w:lang w:eastAsia="en-US"/>
        </w:rPr>
        <w:t xml:space="preserve"> milhões no </w:t>
      </w:r>
      <w:r w:rsidR="00D21741">
        <w:rPr>
          <w:rFonts w:ascii="Arial" w:eastAsia="Calibri" w:hAnsi="Arial" w:cs="Arial"/>
          <w:lang w:eastAsia="en-US"/>
        </w:rPr>
        <w:t>4</w:t>
      </w:r>
      <w:r w:rsidRPr="001274B5">
        <w:rPr>
          <w:rFonts w:ascii="Arial" w:eastAsia="Calibri" w:hAnsi="Arial" w:cs="Arial"/>
          <w:lang w:eastAsia="en-US"/>
        </w:rPr>
        <w:t>T</w:t>
      </w:r>
      <w:r>
        <w:rPr>
          <w:rFonts w:ascii="Arial" w:eastAsia="Calibri" w:hAnsi="Arial" w:cs="Arial"/>
          <w:lang w:eastAsia="en-US"/>
        </w:rPr>
        <w:t>2</w:t>
      </w:r>
      <w:r w:rsidR="00B73FC4">
        <w:rPr>
          <w:rFonts w:ascii="Arial" w:eastAsia="Calibri" w:hAnsi="Arial" w:cs="Arial"/>
          <w:lang w:eastAsia="en-US"/>
        </w:rPr>
        <w:t>1</w:t>
      </w:r>
      <w:r w:rsidRPr="001274B5">
        <w:rPr>
          <w:rFonts w:ascii="Arial" w:eastAsia="Calibri" w:hAnsi="Arial" w:cs="Arial"/>
          <w:lang w:eastAsia="en-US"/>
        </w:rPr>
        <w:t xml:space="preserve">. A margem EBITDA passou </w:t>
      </w:r>
      <w:r w:rsidRPr="001A12C7">
        <w:rPr>
          <w:rFonts w:ascii="Arial" w:eastAsia="Calibri" w:hAnsi="Arial" w:cs="Arial"/>
          <w:lang w:eastAsia="en-US"/>
        </w:rPr>
        <w:t xml:space="preserve">de </w:t>
      </w:r>
      <w:r w:rsidR="00B73FC4">
        <w:rPr>
          <w:rFonts w:ascii="Arial" w:eastAsia="Calibri" w:hAnsi="Arial" w:cs="Arial"/>
          <w:lang w:eastAsia="en-US"/>
        </w:rPr>
        <w:t>41</w:t>
      </w:r>
      <w:r w:rsidRPr="001A12C7">
        <w:rPr>
          <w:rFonts w:ascii="Arial" w:eastAsia="Calibri" w:hAnsi="Arial" w:cs="Arial"/>
          <w:lang w:eastAsia="en-US"/>
        </w:rPr>
        <w:t>,</w:t>
      </w:r>
      <w:r w:rsidR="00B73FC4">
        <w:rPr>
          <w:rFonts w:ascii="Arial" w:eastAsia="Calibri" w:hAnsi="Arial" w:cs="Arial"/>
          <w:lang w:eastAsia="en-US"/>
        </w:rPr>
        <w:t>7</w:t>
      </w:r>
      <w:r w:rsidRPr="001A12C7">
        <w:rPr>
          <w:rFonts w:ascii="Arial" w:eastAsia="Calibri" w:hAnsi="Arial" w:cs="Arial"/>
          <w:lang w:eastAsia="en-US"/>
        </w:rPr>
        <w:t xml:space="preserve">% para </w:t>
      </w:r>
      <w:r w:rsidR="007005B7" w:rsidRPr="002059C6">
        <w:rPr>
          <w:rFonts w:ascii="Arial" w:eastAsia="Calibri" w:hAnsi="Arial" w:cs="Arial"/>
          <w:lang w:eastAsia="en-US"/>
        </w:rPr>
        <w:t>41</w:t>
      </w:r>
      <w:r w:rsidRPr="002059C6">
        <w:rPr>
          <w:rFonts w:ascii="Arial" w:eastAsia="Calibri" w:hAnsi="Arial" w:cs="Arial"/>
          <w:lang w:eastAsia="en-US"/>
        </w:rPr>
        <w:t>,</w:t>
      </w:r>
      <w:r w:rsidR="002059C6" w:rsidRPr="002059C6">
        <w:rPr>
          <w:rFonts w:ascii="Arial" w:eastAsia="Calibri" w:hAnsi="Arial" w:cs="Arial"/>
          <w:lang w:eastAsia="en-US"/>
        </w:rPr>
        <w:t>4</w:t>
      </w:r>
      <w:r w:rsidRPr="002059C6">
        <w:rPr>
          <w:rFonts w:ascii="Arial" w:eastAsia="Calibri" w:hAnsi="Arial" w:cs="Arial"/>
          <w:lang w:eastAsia="en-US"/>
        </w:rPr>
        <w:t>%.</w:t>
      </w:r>
      <w:r w:rsidRPr="007005B7">
        <w:rPr>
          <w:rFonts w:ascii="Arial" w:eastAsia="Calibri" w:hAnsi="Arial" w:cs="Arial"/>
          <w:lang w:eastAsia="en-US"/>
        </w:rPr>
        <w:t xml:space="preserve"> </w:t>
      </w:r>
      <w:r w:rsidR="00984704">
        <w:rPr>
          <w:rFonts w:ascii="Arial" w:eastAsia="Calibri" w:hAnsi="Arial" w:cs="Arial"/>
          <w:lang w:eastAsia="en-US"/>
        </w:rPr>
        <w:t>O aumento do EBITDA</w:t>
      </w:r>
      <w:r w:rsidRPr="007005B7">
        <w:rPr>
          <w:rFonts w:ascii="Arial" w:eastAsia="Calibri" w:hAnsi="Arial" w:cs="Arial"/>
          <w:lang w:eastAsia="en-US"/>
        </w:rPr>
        <w:t xml:space="preserve"> ocorreu</w:t>
      </w:r>
      <w:r w:rsidR="007005B7" w:rsidRPr="007005B7">
        <w:rPr>
          <w:rFonts w:ascii="Arial" w:eastAsia="Calibri" w:hAnsi="Arial" w:cs="Arial"/>
          <w:lang w:eastAsia="en-US"/>
        </w:rPr>
        <w:t xml:space="preserve"> principalmente</w:t>
      </w:r>
      <w:r w:rsidRPr="007005B7">
        <w:rPr>
          <w:rFonts w:ascii="Arial" w:eastAsia="Calibri" w:hAnsi="Arial" w:cs="Arial"/>
          <w:lang w:eastAsia="en-US"/>
        </w:rPr>
        <w:t xml:space="preserve"> </w:t>
      </w:r>
      <w:r w:rsidR="00AA2552" w:rsidRPr="007005B7">
        <w:rPr>
          <w:rFonts w:ascii="Arial" w:eastAsia="Calibri" w:hAnsi="Arial" w:cs="Arial"/>
          <w:lang w:eastAsia="en-US"/>
        </w:rPr>
        <w:t xml:space="preserve">pelo crescimento de </w:t>
      </w:r>
      <w:r w:rsidR="0084229D" w:rsidRPr="0084229D">
        <w:rPr>
          <w:rFonts w:ascii="Arial" w:eastAsia="Calibri" w:hAnsi="Arial" w:cs="Arial"/>
          <w:lang w:eastAsia="en-US"/>
        </w:rPr>
        <w:t>6</w:t>
      </w:r>
      <w:r w:rsidR="00AA2552" w:rsidRPr="0084229D">
        <w:rPr>
          <w:rFonts w:ascii="Arial" w:eastAsia="Calibri" w:hAnsi="Arial" w:cs="Arial"/>
          <w:lang w:eastAsia="en-US"/>
        </w:rPr>
        <w:t>,</w:t>
      </w:r>
      <w:r w:rsidR="0084229D" w:rsidRPr="0084229D">
        <w:rPr>
          <w:rFonts w:ascii="Arial" w:eastAsia="Calibri" w:hAnsi="Arial" w:cs="Arial"/>
          <w:lang w:eastAsia="en-US"/>
        </w:rPr>
        <w:t>7</w:t>
      </w:r>
      <w:r w:rsidR="00AA2552" w:rsidRPr="0084229D">
        <w:rPr>
          <w:rFonts w:ascii="Arial" w:eastAsia="Calibri" w:hAnsi="Arial" w:cs="Arial"/>
          <w:lang w:eastAsia="en-US"/>
        </w:rPr>
        <w:t>%</w:t>
      </w:r>
      <w:r w:rsidR="00AA2552" w:rsidRPr="007005B7">
        <w:rPr>
          <w:rFonts w:ascii="Arial" w:eastAsia="Calibri" w:hAnsi="Arial" w:cs="Arial"/>
          <w:lang w:eastAsia="en-US"/>
        </w:rPr>
        <w:t xml:space="preserve"> da receita</w:t>
      </w:r>
      <w:r w:rsidR="00A96833" w:rsidRPr="007005B7">
        <w:rPr>
          <w:rFonts w:ascii="Arial" w:eastAsia="Calibri" w:hAnsi="Arial" w:cs="Arial"/>
          <w:lang w:eastAsia="en-US"/>
        </w:rPr>
        <w:t>.</w:t>
      </w:r>
    </w:p>
    <w:p w14:paraId="1DBDC44F" w14:textId="3C0DCEFA" w:rsidR="00EF0E64" w:rsidRPr="00AB0B51" w:rsidRDefault="00EF0E64" w:rsidP="00A263FE">
      <w:pPr>
        <w:tabs>
          <w:tab w:val="num" w:pos="-993"/>
        </w:tabs>
        <w:spacing w:after="160" w:line="259" w:lineRule="auto"/>
        <w:ind w:left="-993" w:right="226"/>
        <w:contextualSpacing/>
        <w:jc w:val="both"/>
        <w:rPr>
          <w:rFonts w:ascii="Arial" w:eastAsia="Calibri" w:hAnsi="Arial" w:cs="Arial"/>
          <w:lang w:eastAsia="en-US"/>
        </w:rPr>
      </w:pPr>
    </w:p>
    <w:p w14:paraId="44E8C0CA" w14:textId="7B2927C9"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84229D">
        <w:rPr>
          <w:rFonts w:ascii="Arial" w:eastAsia="Calibri" w:hAnsi="Arial" w:cs="Arial"/>
          <w:lang w:eastAsia="en-US"/>
        </w:rPr>
        <w:t xml:space="preserve">A geração de caixa operacional no </w:t>
      </w:r>
      <w:r w:rsidR="00D21741" w:rsidRPr="0084229D">
        <w:rPr>
          <w:rFonts w:ascii="Arial" w:eastAsia="Calibri" w:hAnsi="Arial" w:cs="Arial"/>
          <w:lang w:eastAsia="en-US"/>
        </w:rPr>
        <w:t>4</w:t>
      </w:r>
      <w:r w:rsidRPr="0084229D">
        <w:rPr>
          <w:rFonts w:ascii="Arial" w:eastAsia="Calibri" w:hAnsi="Arial" w:cs="Arial"/>
          <w:lang w:eastAsia="en-US"/>
        </w:rPr>
        <w:t>T2</w:t>
      </w:r>
      <w:r w:rsidR="00B73FC4" w:rsidRPr="0084229D">
        <w:rPr>
          <w:rFonts w:ascii="Arial" w:eastAsia="Calibri" w:hAnsi="Arial" w:cs="Arial"/>
          <w:lang w:eastAsia="en-US"/>
        </w:rPr>
        <w:t>2</w:t>
      </w:r>
      <w:r w:rsidRPr="0084229D">
        <w:rPr>
          <w:rFonts w:ascii="Arial" w:eastAsia="Calibri" w:hAnsi="Arial" w:cs="Arial"/>
          <w:lang w:eastAsia="en-US"/>
        </w:rPr>
        <w:t xml:space="preserve"> foi de R$</w:t>
      </w:r>
      <w:r w:rsidR="0084229D" w:rsidRPr="0084229D">
        <w:rPr>
          <w:rFonts w:ascii="Arial" w:eastAsia="Calibri" w:hAnsi="Arial" w:cs="Arial"/>
          <w:lang w:eastAsia="en-US"/>
        </w:rPr>
        <w:t>516</w:t>
      </w:r>
      <w:r w:rsidRPr="0084229D">
        <w:rPr>
          <w:rFonts w:ascii="Arial" w:eastAsia="Calibri" w:hAnsi="Arial" w:cs="Arial"/>
          <w:lang w:eastAsia="en-US"/>
        </w:rPr>
        <w:t>,</w:t>
      </w:r>
      <w:r w:rsidR="0084229D" w:rsidRPr="0084229D">
        <w:rPr>
          <w:rFonts w:ascii="Arial" w:eastAsia="Calibri" w:hAnsi="Arial" w:cs="Arial"/>
          <w:lang w:eastAsia="en-US"/>
        </w:rPr>
        <w:t>3</w:t>
      </w:r>
      <w:r w:rsidRPr="0084229D">
        <w:rPr>
          <w:rFonts w:ascii="Arial" w:eastAsia="Calibri" w:hAnsi="Arial" w:cs="Arial"/>
          <w:lang w:eastAsia="en-US"/>
        </w:rPr>
        <w:t xml:space="preserve"> milhões, </w:t>
      </w:r>
      <w:r w:rsidR="006A551E" w:rsidRPr="0084229D">
        <w:rPr>
          <w:rFonts w:ascii="Arial" w:eastAsia="Calibri" w:hAnsi="Arial" w:cs="Arial"/>
          <w:lang w:eastAsia="en-US"/>
        </w:rPr>
        <w:t xml:space="preserve">aumento de </w:t>
      </w:r>
      <w:r w:rsidR="0084229D" w:rsidRPr="0084229D">
        <w:rPr>
          <w:rFonts w:ascii="Arial" w:eastAsia="Calibri" w:hAnsi="Arial" w:cs="Arial"/>
          <w:lang w:eastAsia="en-US"/>
        </w:rPr>
        <w:t>33</w:t>
      </w:r>
      <w:r w:rsidR="00E07EB1" w:rsidRPr="0084229D">
        <w:rPr>
          <w:rFonts w:ascii="Arial" w:eastAsia="Calibri" w:hAnsi="Arial" w:cs="Arial"/>
          <w:lang w:eastAsia="en-US"/>
        </w:rPr>
        <w:t>,</w:t>
      </w:r>
      <w:r w:rsidR="0084229D" w:rsidRPr="0084229D">
        <w:rPr>
          <w:rFonts w:ascii="Arial" w:eastAsia="Calibri" w:hAnsi="Arial" w:cs="Arial"/>
          <w:lang w:eastAsia="en-US"/>
        </w:rPr>
        <w:t>5</w:t>
      </w:r>
      <w:r w:rsidRPr="0084229D">
        <w:rPr>
          <w:rFonts w:ascii="Arial" w:eastAsia="Calibri" w:hAnsi="Arial" w:cs="Arial"/>
          <w:lang w:eastAsia="en-US"/>
        </w:rPr>
        <w:t>%</w:t>
      </w:r>
      <w:r w:rsidRPr="00C0011D">
        <w:rPr>
          <w:rFonts w:ascii="Arial" w:eastAsia="Calibri" w:hAnsi="Arial" w:cs="Arial"/>
          <w:lang w:eastAsia="en-US"/>
        </w:rPr>
        <w:t xml:space="preserve"> em relação ao </w:t>
      </w:r>
      <w:r w:rsidR="00D21741">
        <w:rPr>
          <w:rFonts w:ascii="Arial" w:eastAsia="Calibri" w:hAnsi="Arial" w:cs="Arial"/>
          <w:lang w:eastAsia="en-US"/>
        </w:rPr>
        <w:t>4</w:t>
      </w:r>
      <w:r w:rsidR="00B73FC4">
        <w:rPr>
          <w:rFonts w:ascii="Arial" w:eastAsia="Calibri" w:hAnsi="Arial" w:cs="Arial"/>
          <w:lang w:eastAsia="en-US"/>
        </w:rPr>
        <w:t>T21</w:t>
      </w:r>
      <w:r w:rsidRPr="00C0011D">
        <w:rPr>
          <w:rFonts w:ascii="Arial" w:eastAsia="Calibri" w:hAnsi="Arial" w:cs="Arial"/>
          <w:lang w:eastAsia="en-US"/>
        </w:rPr>
        <w:t xml:space="preserve">. A Conversão do EBITDA em Caixa Operacional foi </w:t>
      </w:r>
      <w:r w:rsidRPr="00074817">
        <w:rPr>
          <w:rFonts w:ascii="Arial" w:eastAsia="Calibri" w:hAnsi="Arial" w:cs="Arial"/>
          <w:lang w:eastAsia="en-US"/>
        </w:rPr>
        <w:t xml:space="preserve">de </w:t>
      </w:r>
      <w:r w:rsidR="0084229D" w:rsidRPr="0084229D">
        <w:rPr>
          <w:rFonts w:ascii="Arial" w:eastAsia="Calibri" w:hAnsi="Arial" w:cs="Arial"/>
          <w:lang w:eastAsia="en-US"/>
        </w:rPr>
        <w:t>84</w:t>
      </w:r>
      <w:r w:rsidRPr="0084229D">
        <w:rPr>
          <w:rFonts w:ascii="Arial" w:eastAsia="Calibri" w:hAnsi="Arial" w:cs="Arial"/>
          <w:lang w:eastAsia="en-US"/>
        </w:rPr>
        <w:t>,</w:t>
      </w:r>
      <w:r w:rsidR="0084229D" w:rsidRPr="0084229D">
        <w:rPr>
          <w:rFonts w:ascii="Arial" w:eastAsia="Calibri" w:hAnsi="Arial" w:cs="Arial"/>
          <w:lang w:eastAsia="en-US"/>
        </w:rPr>
        <w:t>6</w:t>
      </w:r>
      <w:r w:rsidRPr="0084229D">
        <w:rPr>
          <w:rFonts w:ascii="Arial" w:eastAsia="Calibri" w:hAnsi="Arial" w:cs="Arial"/>
          <w:lang w:eastAsia="en-US"/>
        </w:rPr>
        <w:t>%</w:t>
      </w:r>
      <w:r w:rsidRPr="00074817">
        <w:rPr>
          <w:rFonts w:ascii="Arial" w:eastAsia="Calibri" w:hAnsi="Arial" w:cs="Arial"/>
          <w:lang w:eastAsia="en-US"/>
        </w:rPr>
        <w:t>.</w:t>
      </w:r>
    </w:p>
    <w:p w14:paraId="195F916C" w14:textId="77777777" w:rsidR="00CF0944" w:rsidRDefault="00CF0944" w:rsidP="00A263FE">
      <w:pPr>
        <w:tabs>
          <w:tab w:val="num" w:pos="-993"/>
        </w:tabs>
        <w:spacing w:after="160" w:line="259" w:lineRule="auto"/>
        <w:ind w:left="-993" w:right="226"/>
        <w:contextualSpacing/>
        <w:jc w:val="both"/>
        <w:rPr>
          <w:rFonts w:ascii="Arial" w:eastAsia="Calibri" w:hAnsi="Arial" w:cs="Arial"/>
          <w:lang w:eastAsia="en-US"/>
        </w:rPr>
      </w:pPr>
    </w:p>
    <w:p w14:paraId="3038E12C" w14:textId="77777777" w:rsidR="00350C32" w:rsidRPr="007005B7" w:rsidRDefault="00350C32" w:rsidP="00A263FE">
      <w:pPr>
        <w:tabs>
          <w:tab w:val="num" w:pos="-993"/>
        </w:tabs>
        <w:spacing w:after="160" w:line="259" w:lineRule="auto"/>
        <w:ind w:left="-993" w:right="226"/>
        <w:contextualSpacing/>
        <w:jc w:val="both"/>
        <w:rPr>
          <w:rFonts w:ascii="Arial" w:eastAsia="Calibri" w:hAnsi="Arial" w:cs="Arial"/>
          <w:sz w:val="6"/>
          <w:szCs w:val="6"/>
          <w:lang w:eastAsia="en-US"/>
        </w:rPr>
      </w:pPr>
    </w:p>
    <w:bookmarkStart w:id="21" w:name="_MON_1603612047"/>
    <w:bookmarkEnd w:id="21"/>
    <w:p w14:paraId="11231C05" w14:textId="44977F1F" w:rsidR="00350C32" w:rsidRDefault="004E5F7E" w:rsidP="00A263FE">
      <w:pPr>
        <w:tabs>
          <w:tab w:val="num" w:pos="-993"/>
        </w:tabs>
        <w:ind w:left="-993" w:right="226"/>
        <w:contextualSpacing/>
        <w:jc w:val="both"/>
        <w:rPr>
          <w:rFonts w:ascii="Arial" w:eastAsia="Times New Roman" w:hAnsi="Arial" w:cs="Arial"/>
          <w:sz w:val="22"/>
          <w:szCs w:val="22"/>
        </w:rPr>
      </w:pPr>
      <w:r w:rsidRPr="00EC7340">
        <w:rPr>
          <w:rFonts w:ascii="Arial" w:eastAsia="Times New Roman" w:hAnsi="Arial" w:cs="Arial"/>
          <w:sz w:val="22"/>
          <w:szCs w:val="22"/>
        </w:rPr>
        <w:object w:dxaOrig="10341" w:dyaOrig="2511" w14:anchorId="72A37FB4">
          <v:shape id="_x0000_i1042" type="#_x0000_t75" style="width:531.85pt;height:132.45pt" o:ole="">
            <v:imagedata r:id="rId46" o:title=""/>
          </v:shape>
          <o:OLEObject Type="Embed" ProgID="Excel.Sheet.12" ShapeID="_x0000_i1042" DrawAspect="Content" ObjectID="_1737529304" r:id="rId47"/>
        </w:object>
      </w:r>
    </w:p>
    <w:p w14:paraId="6C369D5C" w14:textId="77777777" w:rsidR="00CF0944" w:rsidRPr="00CF0944" w:rsidRDefault="00CF0944" w:rsidP="00CF0944">
      <w:pPr>
        <w:tabs>
          <w:tab w:val="num" w:pos="-993"/>
        </w:tabs>
        <w:ind w:left="-993" w:right="226"/>
        <w:contextualSpacing/>
        <w:jc w:val="both"/>
        <w:rPr>
          <w:rFonts w:ascii="Arial" w:eastAsia="Times New Roman" w:hAnsi="Arial" w:cs="Arial"/>
          <w:sz w:val="10"/>
          <w:szCs w:val="10"/>
        </w:rPr>
      </w:pPr>
    </w:p>
    <w:p w14:paraId="69BAAE98" w14:textId="39C8ECF1" w:rsidR="00CF0944" w:rsidRDefault="00CF0944" w:rsidP="00CF0944">
      <w:pPr>
        <w:tabs>
          <w:tab w:val="num" w:pos="-993"/>
        </w:tabs>
        <w:ind w:left="-993" w:right="226"/>
        <w:contextualSpacing/>
        <w:jc w:val="both"/>
        <w:rPr>
          <w:rFonts w:ascii="Arial" w:eastAsia="Times New Roman" w:hAnsi="Arial" w:cs="Arial"/>
          <w:sz w:val="18"/>
          <w:szCs w:val="18"/>
        </w:rPr>
      </w:pPr>
      <w:r w:rsidRPr="00321B59">
        <w:rPr>
          <w:rFonts w:ascii="Arial" w:eastAsia="Times New Roman" w:hAnsi="Arial" w:cs="Arial"/>
          <w:sz w:val="18"/>
          <w:szCs w:val="18"/>
        </w:rPr>
        <w:t>* Informação não auditada ou não revisada pelos auditores independentes</w:t>
      </w:r>
    </w:p>
    <w:p w14:paraId="3C82C3A4" w14:textId="77777777" w:rsidR="007005B7" w:rsidRPr="00AB0B51" w:rsidRDefault="007005B7" w:rsidP="00A263FE">
      <w:pPr>
        <w:tabs>
          <w:tab w:val="num" w:pos="-993"/>
        </w:tabs>
        <w:ind w:left="-993" w:right="226"/>
        <w:contextualSpacing/>
        <w:jc w:val="both"/>
        <w:rPr>
          <w:rFonts w:ascii="Arial" w:eastAsia="Times New Roman" w:hAnsi="Arial" w:cs="Arial"/>
        </w:rPr>
      </w:pPr>
    </w:p>
    <w:p w14:paraId="68885AD3" w14:textId="77777777" w:rsidR="00350C32" w:rsidRPr="000A04CB" w:rsidRDefault="00350C32" w:rsidP="00A263FE">
      <w:pPr>
        <w:tabs>
          <w:tab w:val="num" w:pos="-993"/>
        </w:tabs>
        <w:ind w:left="-993" w:right="226"/>
        <w:contextualSpacing/>
        <w:jc w:val="both"/>
        <w:rPr>
          <w:rFonts w:ascii="Arial" w:eastAsia="Times New Roman" w:hAnsi="Arial" w:cs="Arial"/>
          <w:b/>
          <w:bCs/>
          <w:color w:val="355993"/>
        </w:rPr>
      </w:pPr>
      <w:r w:rsidRPr="000A04CB">
        <w:rPr>
          <w:rFonts w:ascii="Arial" w:eastAsia="Times New Roman" w:hAnsi="Arial" w:cs="Arial"/>
          <w:b/>
          <w:bCs/>
          <w:color w:val="355993"/>
        </w:rPr>
        <w:t>2.3   INVESTIMENTOS</w:t>
      </w:r>
    </w:p>
    <w:p w14:paraId="52114457" w14:textId="77777777" w:rsidR="00350C32" w:rsidRPr="00AB0B51" w:rsidRDefault="00350C32" w:rsidP="00A263FE">
      <w:pPr>
        <w:tabs>
          <w:tab w:val="num" w:pos="-993"/>
        </w:tabs>
        <w:ind w:left="-993" w:right="226"/>
        <w:contextualSpacing/>
        <w:jc w:val="both"/>
        <w:rPr>
          <w:rFonts w:ascii="Arial" w:eastAsia="Calibri" w:hAnsi="Arial" w:cs="Arial"/>
          <w:lang w:eastAsia="en-US"/>
        </w:rPr>
      </w:pPr>
    </w:p>
    <w:p w14:paraId="7B77A8D3" w14:textId="27AB8260"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 xml:space="preserve">Os investimentos realizados no </w:t>
      </w:r>
      <w:r w:rsidR="00DD5FF5">
        <w:rPr>
          <w:rFonts w:ascii="Arial" w:eastAsia="Calibri" w:hAnsi="Arial" w:cs="Arial"/>
          <w:lang w:eastAsia="en-US"/>
        </w:rPr>
        <w:t>4</w:t>
      </w:r>
      <w:r w:rsidRPr="000A04CB">
        <w:rPr>
          <w:rFonts w:ascii="Arial" w:eastAsia="Calibri" w:hAnsi="Arial" w:cs="Arial"/>
          <w:lang w:eastAsia="en-US"/>
        </w:rPr>
        <w:t>T2</w:t>
      </w:r>
      <w:r w:rsidR="00B73FC4">
        <w:rPr>
          <w:rFonts w:ascii="Arial" w:eastAsia="Calibri" w:hAnsi="Arial" w:cs="Arial"/>
          <w:lang w:eastAsia="en-US"/>
        </w:rPr>
        <w:t>2</w:t>
      </w:r>
      <w:r w:rsidRPr="000A04CB">
        <w:rPr>
          <w:rFonts w:ascii="Arial" w:eastAsia="Calibri" w:hAnsi="Arial" w:cs="Arial"/>
          <w:lang w:eastAsia="en-US"/>
        </w:rPr>
        <w:t xml:space="preserve"> foram </w:t>
      </w:r>
      <w:r w:rsidRPr="005B0203">
        <w:rPr>
          <w:rFonts w:ascii="Arial" w:eastAsia="Calibri" w:hAnsi="Arial" w:cs="Arial"/>
          <w:lang w:eastAsia="en-US"/>
        </w:rPr>
        <w:t>de R$</w:t>
      </w:r>
      <w:r w:rsidR="00973597" w:rsidRPr="005B0203">
        <w:rPr>
          <w:rFonts w:ascii="Arial" w:eastAsia="Calibri" w:hAnsi="Arial" w:cs="Arial"/>
          <w:lang w:eastAsia="en-US"/>
        </w:rPr>
        <w:t>4</w:t>
      </w:r>
      <w:r w:rsidR="005B0203" w:rsidRPr="005B0203">
        <w:rPr>
          <w:rFonts w:ascii="Arial" w:eastAsia="Calibri" w:hAnsi="Arial" w:cs="Arial"/>
          <w:lang w:eastAsia="en-US"/>
        </w:rPr>
        <w:t>82</w:t>
      </w:r>
      <w:r w:rsidRPr="005B0203">
        <w:rPr>
          <w:rFonts w:ascii="Arial" w:eastAsia="Calibri" w:hAnsi="Arial" w:cs="Arial"/>
          <w:lang w:eastAsia="en-US"/>
        </w:rPr>
        <w:t>,</w:t>
      </w:r>
      <w:r w:rsidR="005B0203" w:rsidRPr="005B0203">
        <w:rPr>
          <w:rFonts w:ascii="Arial" w:eastAsia="Calibri" w:hAnsi="Arial" w:cs="Arial"/>
          <w:lang w:eastAsia="en-US"/>
        </w:rPr>
        <w:t>1</w:t>
      </w:r>
      <w:r w:rsidRPr="005B0203">
        <w:rPr>
          <w:rFonts w:ascii="Arial" w:eastAsia="Calibri" w:hAnsi="Arial" w:cs="Arial"/>
          <w:lang w:eastAsia="en-US"/>
        </w:rPr>
        <w:t xml:space="preserve"> milhões (R$</w:t>
      </w:r>
      <w:r w:rsidR="00B73FC4" w:rsidRPr="005B0203">
        <w:rPr>
          <w:rFonts w:ascii="Arial" w:eastAsia="Calibri" w:hAnsi="Arial" w:cs="Arial"/>
          <w:lang w:eastAsia="en-US"/>
        </w:rPr>
        <w:t>401</w:t>
      </w:r>
      <w:r w:rsidRPr="005B0203">
        <w:rPr>
          <w:rFonts w:ascii="Arial" w:eastAsia="Calibri" w:hAnsi="Arial" w:cs="Arial"/>
          <w:lang w:eastAsia="en-US"/>
        </w:rPr>
        <w:t>,</w:t>
      </w:r>
      <w:r w:rsidR="00B73FC4" w:rsidRPr="005B0203">
        <w:rPr>
          <w:rFonts w:ascii="Arial" w:eastAsia="Calibri" w:hAnsi="Arial" w:cs="Arial"/>
          <w:lang w:eastAsia="en-US"/>
        </w:rPr>
        <w:t>9</w:t>
      </w:r>
      <w:r w:rsidRPr="005B0203">
        <w:rPr>
          <w:rFonts w:ascii="Arial" w:eastAsia="Calibri" w:hAnsi="Arial" w:cs="Arial"/>
          <w:lang w:eastAsia="en-US"/>
        </w:rPr>
        <w:t xml:space="preserve"> milhões no </w:t>
      </w:r>
      <w:r w:rsidR="008A05F6" w:rsidRPr="005B0203">
        <w:rPr>
          <w:rFonts w:ascii="Arial" w:eastAsia="Calibri" w:hAnsi="Arial" w:cs="Arial"/>
          <w:lang w:eastAsia="en-US"/>
        </w:rPr>
        <w:t>4</w:t>
      </w:r>
      <w:r w:rsidRPr="005B0203">
        <w:rPr>
          <w:rFonts w:ascii="Arial" w:eastAsia="Calibri" w:hAnsi="Arial" w:cs="Arial"/>
          <w:lang w:eastAsia="en-US"/>
        </w:rPr>
        <w:t>T2</w:t>
      </w:r>
      <w:r w:rsidR="00B73FC4" w:rsidRPr="005B0203">
        <w:rPr>
          <w:rFonts w:ascii="Arial" w:eastAsia="Calibri" w:hAnsi="Arial" w:cs="Arial"/>
          <w:lang w:eastAsia="en-US"/>
        </w:rPr>
        <w:t>1</w:t>
      </w:r>
      <w:r w:rsidRPr="005B0203">
        <w:rPr>
          <w:rFonts w:ascii="Arial" w:eastAsia="Calibri" w:hAnsi="Arial" w:cs="Arial"/>
          <w:lang w:eastAsia="en-US"/>
        </w:rPr>
        <w:t>), conforme apresentados a seguir:</w:t>
      </w:r>
    </w:p>
    <w:p w14:paraId="3894A415" w14:textId="77777777" w:rsidR="00350C32" w:rsidRPr="00AB0B51" w:rsidRDefault="00350C32" w:rsidP="00A263FE">
      <w:pPr>
        <w:tabs>
          <w:tab w:val="num" w:pos="-993"/>
        </w:tabs>
        <w:spacing w:after="160" w:line="259" w:lineRule="auto"/>
        <w:ind w:left="-993" w:right="226"/>
        <w:contextualSpacing/>
        <w:jc w:val="both"/>
        <w:rPr>
          <w:rFonts w:ascii="Arial" w:eastAsia="Calibri" w:hAnsi="Arial" w:cs="Arial"/>
          <w:lang w:eastAsia="en-US"/>
        </w:rPr>
      </w:pPr>
    </w:p>
    <w:bookmarkStart w:id="22" w:name="_MON_1603612916"/>
    <w:bookmarkEnd w:id="22"/>
    <w:p w14:paraId="3967962B" w14:textId="17BABCFF" w:rsidR="00350C32" w:rsidRDefault="005B0203" w:rsidP="005D57BF">
      <w:pPr>
        <w:tabs>
          <w:tab w:val="num" w:pos="-993"/>
          <w:tab w:val="left" w:pos="9639"/>
        </w:tabs>
        <w:ind w:left="-993" w:right="226"/>
        <w:contextualSpacing/>
        <w:jc w:val="both"/>
        <w:rPr>
          <w:rFonts w:ascii="Arial" w:eastAsia="Calibri" w:hAnsi="Arial" w:cs="Arial"/>
          <w:sz w:val="23"/>
          <w:szCs w:val="23"/>
          <w:lang w:eastAsia="en-US"/>
        </w:rPr>
      </w:pPr>
      <w:r w:rsidRPr="00EC7340">
        <w:rPr>
          <w:rFonts w:ascii="Arial" w:eastAsia="Calibri" w:hAnsi="Arial" w:cs="Arial"/>
          <w:sz w:val="23"/>
          <w:szCs w:val="23"/>
          <w:lang w:eastAsia="en-US"/>
        </w:rPr>
        <w:object w:dxaOrig="10341" w:dyaOrig="1685" w14:anchorId="05671FBE">
          <v:shape id="_x0000_i1043" type="#_x0000_t75" style="width:531.85pt;height:86.25pt" o:ole="">
            <v:imagedata r:id="rId48" o:title=""/>
          </v:shape>
          <o:OLEObject Type="Embed" ProgID="Excel.Sheet.12" ShapeID="_x0000_i1043" DrawAspect="Content" ObjectID="_1737529305" r:id="rId49"/>
        </w:object>
      </w:r>
    </w:p>
    <w:p w14:paraId="55F8AF9C" w14:textId="45E999A5" w:rsidR="00350C32" w:rsidRDefault="00350C32" w:rsidP="00A263FE">
      <w:pPr>
        <w:tabs>
          <w:tab w:val="num" w:pos="-993"/>
        </w:tabs>
        <w:ind w:left="-993" w:right="226"/>
        <w:contextualSpacing/>
        <w:jc w:val="both"/>
        <w:rPr>
          <w:rFonts w:ascii="Arial" w:eastAsia="Calibri" w:hAnsi="Arial" w:cs="Arial"/>
          <w:lang w:eastAsia="en-US"/>
        </w:rPr>
      </w:pPr>
    </w:p>
    <w:p w14:paraId="2DB82735" w14:textId="71F13AAE" w:rsidR="00AB0B51" w:rsidRDefault="00AB0B51" w:rsidP="00A263FE">
      <w:pPr>
        <w:tabs>
          <w:tab w:val="num" w:pos="-993"/>
        </w:tabs>
        <w:ind w:left="-993" w:right="226"/>
        <w:contextualSpacing/>
        <w:jc w:val="both"/>
        <w:rPr>
          <w:rFonts w:ascii="Arial" w:eastAsia="Calibri" w:hAnsi="Arial" w:cs="Arial"/>
          <w:lang w:eastAsia="en-US"/>
        </w:rPr>
      </w:pPr>
    </w:p>
    <w:p w14:paraId="4E652051" w14:textId="793040C4" w:rsidR="005B0203" w:rsidRDefault="005B0203" w:rsidP="00A263FE">
      <w:pPr>
        <w:tabs>
          <w:tab w:val="num" w:pos="-993"/>
        </w:tabs>
        <w:ind w:left="-993" w:right="226"/>
        <w:contextualSpacing/>
        <w:jc w:val="both"/>
        <w:rPr>
          <w:rFonts w:ascii="Arial" w:eastAsia="Calibri" w:hAnsi="Arial" w:cs="Arial"/>
          <w:lang w:eastAsia="en-US"/>
        </w:rPr>
      </w:pPr>
    </w:p>
    <w:p w14:paraId="4B318ED9" w14:textId="4741E72F" w:rsidR="00DA3655" w:rsidRDefault="00DA3655" w:rsidP="00A263FE">
      <w:pPr>
        <w:tabs>
          <w:tab w:val="num" w:pos="-993"/>
        </w:tabs>
        <w:ind w:left="-993" w:right="226"/>
        <w:contextualSpacing/>
        <w:jc w:val="both"/>
        <w:rPr>
          <w:rFonts w:ascii="Arial" w:eastAsia="Calibri" w:hAnsi="Arial" w:cs="Arial"/>
          <w:lang w:eastAsia="en-US"/>
        </w:rPr>
      </w:pPr>
    </w:p>
    <w:p w14:paraId="464ED36F" w14:textId="59122F9A" w:rsidR="00DA3655" w:rsidRDefault="00DA3655" w:rsidP="00A263FE">
      <w:pPr>
        <w:tabs>
          <w:tab w:val="num" w:pos="-993"/>
        </w:tabs>
        <w:ind w:left="-993" w:right="226"/>
        <w:contextualSpacing/>
        <w:jc w:val="both"/>
        <w:rPr>
          <w:rFonts w:ascii="Arial" w:eastAsia="Calibri" w:hAnsi="Arial" w:cs="Arial"/>
          <w:lang w:eastAsia="en-US"/>
        </w:rPr>
      </w:pPr>
    </w:p>
    <w:p w14:paraId="29B8FE77" w14:textId="3906D4B4" w:rsidR="00DA3655" w:rsidRDefault="00DA3655" w:rsidP="00A263FE">
      <w:pPr>
        <w:tabs>
          <w:tab w:val="num" w:pos="-993"/>
        </w:tabs>
        <w:ind w:left="-993" w:right="226"/>
        <w:contextualSpacing/>
        <w:jc w:val="both"/>
        <w:rPr>
          <w:rFonts w:ascii="Arial" w:eastAsia="Calibri" w:hAnsi="Arial" w:cs="Arial"/>
          <w:lang w:eastAsia="en-US"/>
        </w:rPr>
      </w:pPr>
    </w:p>
    <w:p w14:paraId="561ABD14" w14:textId="77777777" w:rsidR="00DA3655" w:rsidRDefault="00DA3655" w:rsidP="00A263FE">
      <w:pPr>
        <w:tabs>
          <w:tab w:val="num" w:pos="-993"/>
        </w:tabs>
        <w:ind w:left="-993" w:right="226"/>
        <w:contextualSpacing/>
        <w:jc w:val="both"/>
        <w:rPr>
          <w:rFonts w:ascii="Arial" w:eastAsia="Calibri" w:hAnsi="Arial" w:cs="Arial"/>
          <w:lang w:eastAsia="en-US"/>
        </w:rPr>
      </w:pPr>
    </w:p>
    <w:p w14:paraId="4142EE68" w14:textId="3FC0E2C6" w:rsidR="005B0203" w:rsidRDefault="005B0203" w:rsidP="00A263FE">
      <w:pPr>
        <w:tabs>
          <w:tab w:val="num" w:pos="-993"/>
        </w:tabs>
        <w:ind w:left="-993" w:right="226"/>
        <w:contextualSpacing/>
        <w:jc w:val="both"/>
        <w:rPr>
          <w:rFonts w:ascii="Arial" w:eastAsia="Calibri" w:hAnsi="Arial" w:cs="Arial"/>
          <w:lang w:eastAsia="en-US"/>
        </w:rPr>
      </w:pPr>
    </w:p>
    <w:p w14:paraId="65C89B59" w14:textId="5BFC81DE" w:rsidR="005B0203" w:rsidRDefault="005B0203" w:rsidP="00A263FE">
      <w:pPr>
        <w:tabs>
          <w:tab w:val="num" w:pos="-993"/>
        </w:tabs>
        <w:ind w:left="-993" w:right="226"/>
        <w:contextualSpacing/>
        <w:jc w:val="both"/>
        <w:rPr>
          <w:rFonts w:ascii="Arial" w:eastAsia="Calibri" w:hAnsi="Arial" w:cs="Arial"/>
          <w:lang w:eastAsia="en-US"/>
        </w:rPr>
      </w:pPr>
    </w:p>
    <w:p w14:paraId="010F0801" w14:textId="77777777" w:rsidR="005B0203" w:rsidRDefault="005B0203" w:rsidP="00A263FE">
      <w:pPr>
        <w:tabs>
          <w:tab w:val="num" w:pos="-993"/>
        </w:tabs>
        <w:ind w:left="-993" w:right="226"/>
        <w:contextualSpacing/>
        <w:jc w:val="both"/>
        <w:rPr>
          <w:rFonts w:ascii="Arial" w:eastAsia="Calibri" w:hAnsi="Arial" w:cs="Arial"/>
          <w:lang w:eastAsia="en-US"/>
        </w:rPr>
      </w:pPr>
    </w:p>
    <w:p w14:paraId="4075D228" w14:textId="7A4501AA" w:rsidR="00350C32" w:rsidRPr="000A04CB" w:rsidRDefault="00350C32" w:rsidP="00A263FE">
      <w:pPr>
        <w:pStyle w:val="Cabealho"/>
        <w:tabs>
          <w:tab w:val="clear" w:pos="4419"/>
          <w:tab w:val="clear" w:pos="8838"/>
          <w:tab w:val="num" w:pos="-993"/>
        </w:tabs>
        <w:ind w:left="-993" w:right="226"/>
        <w:rPr>
          <w:rFonts w:ascii="Arial" w:eastAsia="Times New Roman" w:hAnsi="Arial" w:cs="Arial"/>
          <w:b/>
          <w:bCs/>
          <w:color w:val="355993"/>
        </w:rPr>
      </w:pPr>
      <w:r w:rsidRPr="000A04CB">
        <w:rPr>
          <w:rFonts w:ascii="Arial" w:eastAsia="Times New Roman" w:hAnsi="Arial" w:cs="Arial"/>
          <w:b/>
          <w:bCs/>
          <w:color w:val="355993"/>
        </w:rPr>
        <w:lastRenderedPageBreak/>
        <w:t>2.4   ENDIVIDAMENTO</w:t>
      </w:r>
    </w:p>
    <w:p w14:paraId="030C243F" w14:textId="77777777" w:rsidR="00350C32" w:rsidRPr="00AB0B51" w:rsidRDefault="00350C32" w:rsidP="00A263FE">
      <w:pPr>
        <w:tabs>
          <w:tab w:val="num" w:pos="-993"/>
        </w:tabs>
        <w:ind w:left="-993" w:right="226"/>
        <w:contextualSpacing/>
        <w:rPr>
          <w:rFonts w:ascii="Arial" w:eastAsia="Calibri" w:hAnsi="Arial" w:cs="Arial"/>
          <w:b/>
          <w:color w:val="0033CC"/>
          <w:lang w:eastAsia="en-US"/>
        </w:rPr>
      </w:pPr>
    </w:p>
    <w:p w14:paraId="747D03BB" w14:textId="2AAC62A8" w:rsidR="00350C32"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A dívida bruta passou de R$</w:t>
      </w:r>
      <w:r w:rsidR="00AB0B51">
        <w:rPr>
          <w:rFonts w:ascii="Arial" w:eastAsia="Calibri" w:hAnsi="Arial" w:cs="Arial"/>
          <w:lang w:eastAsia="en-US"/>
        </w:rPr>
        <w:t>4</w:t>
      </w:r>
      <w:r w:rsidRPr="000A04CB">
        <w:rPr>
          <w:rFonts w:ascii="Arial" w:eastAsia="Calibri" w:hAnsi="Arial" w:cs="Arial"/>
          <w:lang w:eastAsia="en-US"/>
        </w:rPr>
        <w:t>.</w:t>
      </w:r>
      <w:r w:rsidR="00AB0B51">
        <w:rPr>
          <w:rFonts w:ascii="Arial" w:eastAsia="Calibri" w:hAnsi="Arial" w:cs="Arial"/>
          <w:lang w:eastAsia="en-US"/>
        </w:rPr>
        <w:t>120</w:t>
      </w:r>
      <w:r>
        <w:rPr>
          <w:rFonts w:ascii="Arial" w:eastAsia="Calibri" w:hAnsi="Arial" w:cs="Arial"/>
          <w:lang w:eastAsia="en-US"/>
        </w:rPr>
        <w:t>,6</w:t>
      </w:r>
      <w:r w:rsidRPr="000A04CB">
        <w:rPr>
          <w:rFonts w:ascii="Arial" w:eastAsia="Calibri" w:hAnsi="Arial" w:cs="Arial"/>
          <w:lang w:eastAsia="en-US"/>
        </w:rPr>
        <w:t xml:space="preserve"> milhões em dezembro de 20</w:t>
      </w:r>
      <w:r>
        <w:rPr>
          <w:rFonts w:ascii="Arial" w:eastAsia="Calibri" w:hAnsi="Arial" w:cs="Arial"/>
          <w:lang w:eastAsia="en-US"/>
        </w:rPr>
        <w:t>2</w:t>
      </w:r>
      <w:r w:rsidR="00AB0B51">
        <w:rPr>
          <w:rFonts w:ascii="Arial" w:eastAsia="Calibri" w:hAnsi="Arial" w:cs="Arial"/>
          <w:lang w:eastAsia="en-US"/>
        </w:rPr>
        <w:t>1</w:t>
      </w:r>
      <w:r w:rsidRPr="000A04CB">
        <w:rPr>
          <w:rFonts w:ascii="Arial" w:eastAsia="Calibri" w:hAnsi="Arial" w:cs="Arial"/>
          <w:lang w:eastAsia="en-US"/>
        </w:rPr>
        <w:t xml:space="preserve"> </w:t>
      </w:r>
      <w:r w:rsidRPr="005B0203">
        <w:rPr>
          <w:rFonts w:ascii="Arial" w:eastAsia="Calibri" w:hAnsi="Arial" w:cs="Arial"/>
          <w:lang w:eastAsia="en-US"/>
        </w:rPr>
        <w:t>para R$</w:t>
      </w:r>
      <w:r w:rsidR="005B0203" w:rsidRPr="005B0203">
        <w:rPr>
          <w:rFonts w:ascii="Arial" w:eastAsia="Calibri" w:hAnsi="Arial" w:cs="Arial"/>
          <w:lang w:eastAsia="en-US"/>
        </w:rPr>
        <w:t>5</w:t>
      </w:r>
      <w:r w:rsidRPr="005B0203">
        <w:rPr>
          <w:rFonts w:ascii="Arial" w:eastAsia="Calibri" w:hAnsi="Arial" w:cs="Arial"/>
          <w:lang w:eastAsia="en-US"/>
        </w:rPr>
        <w:t>.</w:t>
      </w:r>
      <w:r w:rsidR="005B0203" w:rsidRPr="005B0203">
        <w:rPr>
          <w:rFonts w:ascii="Arial" w:eastAsia="Calibri" w:hAnsi="Arial" w:cs="Arial"/>
          <w:lang w:eastAsia="en-US"/>
        </w:rPr>
        <w:t>083</w:t>
      </w:r>
      <w:r w:rsidRPr="005B0203">
        <w:rPr>
          <w:rFonts w:ascii="Arial" w:eastAsia="Calibri" w:hAnsi="Arial" w:cs="Arial"/>
          <w:lang w:eastAsia="en-US"/>
        </w:rPr>
        <w:t>,</w:t>
      </w:r>
      <w:r w:rsidR="00620FEF">
        <w:rPr>
          <w:rFonts w:ascii="Arial" w:eastAsia="Calibri" w:hAnsi="Arial" w:cs="Arial"/>
          <w:lang w:eastAsia="en-US"/>
        </w:rPr>
        <w:t>2</w:t>
      </w:r>
      <w:r w:rsidR="00620FEF" w:rsidRPr="000A04CB">
        <w:rPr>
          <w:rFonts w:ascii="Arial" w:eastAsia="Calibri" w:hAnsi="Arial" w:cs="Arial"/>
          <w:lang w:eastAsia="en-US"/>
        </w:rPr>
        <w:t xml:space="preserve"> </w:t>
      </w:r>
      <w:r w:rsidRPr="000A04CB">
        <w:rPr>
          <w:rFonts w:ascii="Arial" w:eastAsia="Calibri" w:hAnsi="Arial" w:cs="Arial"/>
          <w:lang w:eastAsia="en-US"/>
        </w:rPr>
        <w:t xml:space="preserve">milhões em </w:t>
      </w:r>
      <w:r w:rsidR="001A0449">
        <w:rPr>
          <w:rFonts w:ascii="Arial" w:eastAsia="Calibri" w:hAnsi="Arial" w:cs="Arial"/>
          <w:lang w:eastAsia="en-US"/>
        </w:rPr>
        <w:t>dezembro</w:t>
      </w:r>
      <w:r w:rsidR="00115007">
        <w:rPr>
          <w:rFonts w:ascii="Arial" w:eastAsia="Calibri" w:hAnsi="Arial" w:cs="Arial"/>
          <w:lang w:eastAsia="en-US"/>
        </w:rPr>
        <w:t xml:space="preserve"> </w:t>
      </w:r>
      <w:r w:rsidRPr="000A04CB">
        <w:rPr>
          <w:rFonts w:ascii="Arial" w:eastAsia="Calibri" w:hAnsi="Arial" w:cs="Arial"/>
          <w:lang w:eastAsia="en-US"/>
        </w:rPr>
        <w:t>de 202</w:t>
      </w:r>
      <w:r w:rsidR="00AB0B51">
        <w:rPr>
          <w:rFonts w:ascii="Arial" w:eastAsia="Calibri" w:hAnsi="Arial" w:cs="Arial"/>
          <w:lang w:eastAsia="en-US"/>
        </w:rPr>
        <w:t>2</w:t>
      </w:r>
      <w:r w:rsidRPr="000A04CB">
        <w:rPr>
          <w:rFonts w:ascii="Arial" w:eastAsia="Calibri" w:hAnsi="Arial" w:cs="Arial"/>
          <w:lang w:eastAsia="en-US"/>
        </w:rPr>
        <w:t xml:space="preserve">, representando </w:t>
      </w:r>
      <w:r w:rsidRPr="001274B5">
        <w:rPr>
          <w:rFonts w:ascii="Arial" w:eastAsia="Calibri" w:hAnsi="Arial" w:cs="Arial"/>
          <w:lang w:eastAsia="en-US"/>
        </w:rPr>
        <w:t xml:space="preserve">um crescimento de </w:t>
      </w:r>
      <w:r w:rsidRPr="005B0203">
        <w:rPr>
          <w:rFonts w:ascii="Arial" w:eastAsia="Calibri" w:hAnsi="Arial" w:cs="Arial"/>
          <w:lang w:eastAsia="en-US"/>
        </w:rPr>
        <w:t>R$</w:t>
      </w:r>
      <w:r w:rsidR="005B0203" w:rsidRPr="005B0203">
        <w:rPr>
          <w:rFonts w:ascii="Arial" w:eastAsia="Calibri" w:hAnsi="Arial" w:cs="Arial"/>
          <w:lang w:eastAsia="en-US"/>
        </w:rPr>
        <w:t>962</w:t>
      </w:r>
      <w:r w:rsidR="0007381D" w:rsidRPr="005B0203">
        <w:rPr>
          <w:rFonts w:ascii="Arial" w:eastAsia="Calibri" w:hAnsi="Arial" w:cs="Arial"/>
          <w:lang w:eastAsia="en-US"/>
        </w:rPr>
        <w:t>,</w:t>
      </w:r>
      <w:r w:rsidR="005B0203" w:rsidRPr="005B0203">
        <w:rPr>
          <w:rFonts w:ascii="Arial" w:eastAsia="Calibri" w:hAnsi="Arial" w:cs="Arial"/>
          <w:lang w:eastAsia="en-US"/>
        </w:rPr>
        <w:t>7</w:t>
      </w:r>
      <w:r w:rsidR="00BF018E" w:rsidRPr="001274B5">
        <w:rPr>
          <w:rFonts w:ascii="Arial" w:eastAsia="Calibri" w:hAnsi="Arial" w:cs="Arial"/>
          <w:lang w:eastAsia="en-US"/>
        </w:rPr>
        <w:t xml:space="preserve"> </w:t>
      </w:r>
      <w:r w:rsidRPr="001274B5">
        <w:rPr>
          <w:rFonts w:ascii="Arial" w:eastAsia="Calibri" w:hAnsi="Arial" w:cs="Arial"/>
          <w:lang w:eastAsia="en-US"/>
        </w:rPr>
        <w:t>milhões. A dívida líquida passou de R$</w:t>
      </w:r>
      <w:r w:rsidR="00AB0B51">
        <w:rPr>
          <w:rFonts w:ascii="Arial" w:eastAsia="Calibri" w:hAnsi="Arial" w:cs="Arial"/>
          <w:lang w:eastAsia="en-US"/>
        </w:rPr>
        <w:t>3</w:t>
      </w:r>
      <w:r w:rsidRPr="001274B5">
        <w:rPr>
          <w:rFonts w:ascii="Arial" w:eastAsia="Calibri" w:hAnsi="Arial" w:cs="Arial"/>
          <w:lang w:eastAsia="en-US"/>
        </w:rPr>
        <w:t>.</w:t>
      </w:r>
      <w:r w:rsidR="00AB0B51">
        <w:rPr>
          <w:rFonts w:ascii="Arial" w:eastAsia="Calibri" w:hAnsi="Arial" w:cs="Arial"/>
          <w:lang w:eastAsia="en-US"/>
        </w:rPr>
        <w:t>137</w:t>
      </w:r>
      <w:r w:rsidRPr="001274B5">
        <w:rPr>
          <w:rFonts w:ascii="Arial" w:eastAsia="Calibri" w:hAnsi="Arial" w:cs="Arial"/>
          <w:lang w:eastAsia="en-US"/>
        </w:rPr>
        <w:t>,</w:t>
      </w:r>
      <w:r w:rsidR="00AB0B51">
        <w:rPr>
          <w:rFonts w:ascii="Arial" w:eastAsia="Calibri" w:hAnsi="Arial" w:cs="Arial"/>
          <w:lang w:eastAsia="en-US"/>
        </w:rPr>
        <w:t>5</w:t>
      </w:r>
      <w:r w:rsidRPr="001274B5">
        <w:rPr>
          <w:rFonts w:ascii="Arial" w:eastAsia="Calibri" w:hAnsi="Arial" w:cs="Arial"/>
          <w:lang w:eastAsia="en-US"/>
        </w:rPr>
        <w:t xml:space="preserve"> milhões em dezembro de </w:t>
      </w:r>
      <w:r w:rsidRPr="00E140E5">
        <w:rPr>
          <w:rFonts w:ascii="Arial" w:eastAsia="Calibri" w:hAnsi="Arial" w:cs="Arial"/>
          <w:lang w:eastAsia="en-US"/>
        </w:rPr>
        <w:t>202</w:t>
      </w:r>
      <w:r w:rsidR="00AB0B51">
        <w:rPr>
          <w:rFonts w:ascii="Arial" w:eastAsia="Calibri" w:hAnsi="Arial" w:cs="Arial"/>
          <w:lang w:eastAsia="en-US"/>
        </w:rPr>
        <w:t>1</w:t>
      </w:r>
      <w:r w:rsidRPr="00E140E5">
        <w:rPr>
          <w:rFonts w:ascii="Arial" w:eastAsia="Calibri" w:hAnsi="Arial" w:cs="Arial"/>
          <w:lang w:eastAsia="en-US"/>
        </w:rPr>
        <w:t xml:space="preserve"> para </w:t>
      </w:r>
      <w:r w:rsidRPr="005B0203">
        <w:rPr>
          <w:rFonts w:ascii="Arial" w:eastAsia="Calibri" w:hAnsi="Arial" w:cs="Arial"/>
          <w:lang w:eastAsia="en-US"/>
        </w:rPr>
        <w:t>R$</w:t>
      </w:r>
      <w:r w:rsidR="0007381D" w:rsidRPr="005B0203">
        <w:rPr>
          <w:rFonts w:ascii="Arial" w:eastAsia="Calibri" w:hAnsi="Arial" w:cs="Arial"/>
          <w:lang w:eastAsia="en-US"/>
        </w:rPr>
        <w:t>3</w:t>
      </w:r>
      <w:r w:rsidRPr="005B0203">
        <w:rPr>
          <w:rFonts w:ascii="Arial" w:eastAsia="Calibri" w:hAnsi="Arial" w:cs="Arial"/>
          <w:lang w:eastAsia="en-US"/>
        </w:rPr>
        <w:t>.</w:t>
      </w:r>
      <w:r w:rsidR="005B0203" w:rsidRPr="005B0203">
        <w:rPr>
          <w:rFonts w:ascii="Arial" w:eastAsia="Calibri" w:hAnsi="Arial" w:cs="Arial"/>
          <w:lang w:eastAsia="en-US"/>
        </w:rPr>
        <w:t>875</w:t>
      </w:r>
      <w:r w:rsidRPr="005B0203">
        <w:rPr>
          <w:rFonts w:ascii="Arial" w:eastAsia="Calibri" w:hAnsi="Arial" w:cs="Arial"/>
          <w:lang w:eastAsia="en-US"/>
        </w:rPr>
        <w:t>,</w:t>
      </w:r>
      <w:r w:rsidR="005B0203" w:rsidRPr="005B0203">
        <w:rPr>
          <w:rFonts w:ascii="Arial" w:eastAsia="Calibri" w:hAnsi="Arial" w:cs="Arial"/>
          <w:lang w:eastAsia="en-US"/>
        </w:rPr>
        <w:t>4</w:t>
      </w:r>
      <w:r w:rsidRPr="00A66A01">
        <w:rPr>
          <w:rFonts w:ascii="Arial" w:eastAsia="Calibri" w:hAnsi="Arial" w:cs="Arial"/>
          <w:lang w:eastAsia="en-US"/>
        </w:rPr>
        <w:t xml:space="preserve"> milhões</w:t>
      </w:r>
      <w:r w:rsidRPr="00E140E5">
        <w:rPr>
          <w:rFonts w:ascii="Arial" w:eastAsia="Calibri" w:hAnsi="Arial" w:cs="Arial"/>
          <w:lang w:eastAsia="en-US"/>
        </w:rPr>
        <w:t xml:space="preserve"> em </w:t>
      </w:r>
      <w:r w:rsidR="001A0449">
        <w:rPr>
          <w:rFonts w:ascii="Arial" w:eastAsia="Calibri" w:hAnsi="Arial" w:cs="Arial"/>
          <w:lang w:eastAsia="en-US"/>
        </w:rPr>
        <w:t>dezembro</w:t>
      </w:r>
      <w:r w:rsidR="00115007">
        <w:rPr>
          <w:rFonts w:ascii="Arial" w:eastAsia="Calibri" w:hAnsi="Arial" w:cs="Arial"/>
          <w:lang w:eastAsia="en-US"/>
        </w:rPr>
        <w:t xml:space="preserve"> </w:t>
      </w:r>
      <w:r w:rsidR="006A551E">
        <w:rPr>
          <w:rFonts w:ascii="Arial" w:eastAsia="Calibri" w:hAnsi="Arial" w:cs="Arial"/>
          <w:lang w:eastAsia="en-US"/>
        </w:rPr>
        <w:t>de 202</w:t>
      </w:r>
      <w:r w:rsidR="00AB0B51">
        <w:rPr>
          <w:rFonts w:ascii="Arial" w:eastAsia="Calibri" w:hAnsi="Arial" w:cs="Arial"/>
          <w:lang w:eastAsia="en-US"/>
        </w:rPr>
        <w:t>2</w:t>
      </w:r>
      <w:r w:rsidR="006A551E">
        <w:rPr>
          <w:rFonts w:ascii="Arial" w:eastAsia="Calibri" w:hAnsi="Arial" w:cs="Arial"/>
          <w:lang w:eastAsia="en-US"/>
        </w:rPr>
        <w:t xml:space="preserve">. </w:t>
      </w:r>
    </w:p>
    <w:p w14:paraId="7DD207B0" w14:textId="77777777" w:rsidR="00AB0B51" w:rsidRPr="00AB0B51" w:rsidRDefault="00AB0B51" w:rsidP="00A263FE">
      <w:pPr>
        <w:tabs>
          <w:tab w:val="num" w:pos="-993"/>
        </w:tabs>
        <w:spacing w:after="160" w:line="259" w:lineRule="auto"/>
        <w:ind w:left="-993" w:right="226"/>
        <w:contextualSpacing/>
        <w:jc w:val="both"/>
        <w:rPr>
          <w:rFonts w:ascii="Arial" w:eastAsia="Calibri" w:hAnsi="Arial" w:cs="Arial"/>
          <w:lang w:eastAsia="en-US"/>
        </w:rPr>
      </w:pPr>
    </w:p>
    <w:p w14:paraId="7B050B84" w14:textId="14D58374" w:rsidR="00350C32" w:rsidRDefault="00E95293" w:rsidP="00A263FE">
      <w:pPr>
        <w:tabs>
          <w:tab w:val="num" w:pos="-993"/>
        </w:tabs>
        <w:spacing w:after="160" w:line="259" w:lineRule="auto"/>
        <w:ind w:left="-993" w:right="226"/>
        <w:contextualSpacing/>
        <w:jc w:val="both"/>
        <w:rPr>
          <w:rFonts w:ascii="Arial" w:eastAsia="Calibri" w:hAnsi="Arial" w:cs="Arial"/>
          <w:lang w:eastAsia="en-US"/>
        </w:rPr>
      </w:pPr>
      <w:r>
        <w:rPr>
          <w:rFonts w:ascii="Arial" w:eastAsia="Calibri" w:hAnsi="Arial" w:cs="Arial"/>
          <w:lang w:eastAsia="en-US"/>
        </w:rPr>
        <w:t>O</w:t>
      </w:r>
      <w:r w:rsidR="00350C32" w:rsidRPr="000A04CB">
        <w:rPr>
          <w:rFonts w:ascii="Arial" w:eastAsia="Calibri" w:hAnsi="Arial" w:cs="Arial"/>
          <w:lang w:eastAsia="en-US"/>
        </w:rPr>
        <w:t xml:space="preserve"> índice de alavancagem, medido pela relação “Dívida Líquida/EBITDA (acumulado 12 meses)” </w:t>
      </w:r>
      <w:r w:rsidR="00FA4F56">
        <w:rPr>
          <w:rFonts w:ascii="Arial" w:eastAsia="Calibri" w:hAnsi="Arial" w:cs="Arial"/>
          <w:lang w:eastAsia="en-US"/>
        </w:rPr>
        <w:t xml:space="preserve"> </w:t>
      </w:r>
      <w:r w:rsidR="00A66A01">
        <w:rPr>
          <w:rFonts w:ascii="Arial" w:eastAsia="Calibri" w:hAnsi="Arial" w:cs="Arial"/>
          <w:lang w:eastAsia="en-US"/>
        </w:rPr>
        <w:t xml:space="preserve">foi de </w:t>
      </w:r>
      <w:r w:rsidR="00FA4F56">
        <w:rPr>
          <w:rFonts w:ascii="Arial" w:eastAsia="Calibri" w:hAnsi="Arial" w:cs="Arial"/>
          <w:lang w:eastAsia="en-US"/>
        </w:rPr>
        <w:t xml:space="preserve"> </w:t>
      </w:r>
      <w:r w:rsidR="00FA4F56" w:rsidRPr="005B0203">
        <w:rPr>
          <w:rFonts w:ascii="Arial" w:eastAsia="Calibri" w:hAnsi="Arial" w:cs="Arial"/>
          <w:lang w:eastAsia="en-US"/>
        </w:rPr>
        <w:t>1,</w:t>
      </w:r>
      <w:r w:rsidR="005B0203" w:rsidRPr="005B0203">
        <w:rPr>
          <w:rFonts w:ascii="Arial" w:eastAsia="Calibri" w:hAnsi="Arial" w:cs="Arial"/>
          <w:lang w:eastAsia="en-US"/>
        </w:rPr>
        <w:t>7</w:t>
      </w:r>
      <w:r w:rsidR="00115007" w:rsidRPr="005B0203">
        <w:rPr>
          <w:rFonts w:ascii="Arial" w:eastAsia="Calibri" w:hAnsi="Arial" w:cs="Arial"/>
          <w:lang w:eastAsia="en-US"/>
        </w:rPr>
        <w:t>x</w:t>
      </w:r>
      <w:r w:rsidR="00115007">
        <w:rPr>
          <w:rFonts w:ascii="Arial" w:eastAsia="Calibri" w:hAnsi="Arial" w:cs="Arial"/>
          <w:lang w:eastAsia="en-US"/>
        </w:rPr>
        <w:t xml:space="preserve"> no </w:t>
      </w:r>
      <w:r w:rsidR="001A0449">
        <w:rPr>
          <w:rFonts w:ascii="Arial" w:eastAsia="Calibri" w:hAnsi="Arial" w:cs="Arial"/>
          <w:lang w:eastAsia="en-US"/>
        </w:rPr>
        <w:t>4</w:t>
      </w:r>
      <w:r w:rsidR="00FA4F56">
        <w:rPr>
          <w:rFonts w:ascii="Arial" w:eastAsia="Calibri" w:hAnsi="Arial" w:cs="Arial"/>
          <w:lang w:eastAsia="en-US"/>
        </w:rPr>
        <w:t>T2</w:t>
      </w:r>
      <w:r w:rsidR="00AB0B51">
        <w:rPr>
          <w:rFonts w:ascii="Arial" w:eastAsia="Calibri" w:hAnsi="Arial" w:cs="Arial"/>
          <w:lang w:eastAsia="en-US"/>
        </w:rPr>
        <w:t>2</w:t>
      </w:r>
      <w:r w:rsidR="00FA4F56">
        <w:rPr>
          <w:rFonts w:ascii="Arial" w:eastAsia="Calibri" w:hAnsi="Arial" w:cs="Arial"/>
          <w:lang w:eastAsia="en-US"/>
        </w:rPr>
        <w:t xml:space="preserve"> </w:t>
      </w:r>
      <w:r w:rsidR="00A66A01">
        <w:rPr>
          <w:rFonts w:ascii="Arial" w:eastAsia="Calibri" w:hAnsi="Arial" w:cs="Arial"/>
          <w:lang w:eastAsia="en-US"/>
        </w:rPr>
        <w:t>(</w:t>
      </w:r>
      <w:r w:rsidR="00FA4F56" w:rsidRPr="00A66A01">
        <w:rPr>
          <w:rFonts w:ascii="Arial" w:eastAsia="Calibri" w:hAnsi="Arial" w:cs="Arial"/>
          <w:lang w:eastAsia="en-US"/>
        </w:rPr>
        <w:t>1,</w:t>
      </w:r>
      <w:r w:rsidR="001A0449">
        <w:rPr>
          <w:rFonts w:ascii="Arial" w:eastAsia="Calibri" w:hAnsi="Arial" w:cs="Arial"/>
          <w:lang w:eastAsia="en-US"/>
        </w:rPr>
        <w:t>4</w:t>
      </w:r>
      <w:r w:rsidR="00BA44DE" w:rsidRPr="00A66A01">
        <w:rPr>
          <w:rFonts w:ascii="Arial" w:eastAsia="Calibri" w:hAnsi="Arial" w:cs="Arial"/>
          <w:lang w:eastAsia="en-US"/>
        </w:rPr>
        <w:t>x</w:t>
      </w:r>
      <w:r w:rsidR="00BA44DE" w:rsidRPr="00EF6F38">
        <w:rPr>
          <w:rFonts w:ascii="Arial" w:eastAsia="Calibri" w:hAnsi="Arial" w:cs="Arial"/>
          <w:lang w:eastAsia="en-US"/>
        </w:rPr>
        <w:t xml:space="preserve"> </w:t>
      </w:r>
      <w:r w:rsidR="00FA4F56" w:rsidRPr="00EF6F38">
        <w:rPr>
          <w:rFonts w:ascii="Arial" w:eastAsia="Calibri" w:hAnsi="Arial" w:cs="Arial"/>
          <w:lang w:eastAsia="en-US"/>
        </w:rPr>
        <w:t xml:space="preserve">no </w:t>
      </w:r>
      <w:r w:rsidR="001A0449">
        <w:rPr>
          <w:rFonts w:ascii="Arial" w:eastAsia="Calibri" w:hAnsi="Arial" w:cs="Arial"/>
          <w:lang w:eastAsia="en-US"/>
        </w:rPr>
        <w:t>4</w:t>
      </w:r>
      <w:r w:rsidR="00FA4F56" w:rsidRPr="00EF6F38">
        <w:rPr>
          <w:rFonts w:ascii="Arial" w:eastAsia="Calibri" w:hAnsi="Arial" w:cs="Arial"/>
          <w:lang w:eastAsia="en-US"/>
        </w:rPr>
        <w:t>T2</w:t>
      </w:r>
      <w:r w:rsidR="00AB0B51">
        <w:rPr>
          <w:rFonts w:ascii="Arial" w:eastAsia="Calibri" w:hAnsi="Arial" w:cs="Arial"/>
          <w:lang w:eastAsia="en-US"/>
        </w:rPr>
        <w:t>1</w:t>
      </w:r>
      <w:r w:rsidR="00A66A01">
        <w:rPr>
          <w:rFonts w:ascii="Arial" w:eastAsia="Calibri" w:hAnsi="Arial" w:cs="Arial"/>
          <w:lang w:eastAsia="en-US"/>
        </w:rPr>
        <w:t>)</w:t>
      </w:r>
      <w:r w:rsidR="00350C32" w:rsidRPr="001274B5">
        <w:rPr>
          <w:rFonts w:ascii="Arial" w:eastAsia="Calibri" w:hAnsi="Arial" w:cs="Arial"/>
          <w:lang w:eastAsia="en-US"/>
        </w:rPr>
        <w:t>.</w:t>
      </w:r>
    </w:p>
    <w:p w14:paraId="0B97BBEB" w14:textId="77777777" w:rsidR="00350C32" w:rsidRPr="00AB0B51" w:rsidRDefault="00350C32" w:rsidP="00A263FE">
      <w:pPr>
        <w:tabs>
          <w:tab w:val="num" w:pos="-993"/>
        </w:tabs>
        <w:spacing w:after="160" w:line="259" w:lineRule="auto"/>
        <w:ind w:left="-993" w:right="226"/>
        <w:contextualSpacing/>
        <w:jc w:val="both"/>
        <w:rPr>
          <w:rFonts w:ascii="Arial" w:eastAsia="Calibri" w:hAnsi="Arial" w:cs="Arial"/>
          <w:lang w:eastAsia="en-US"/>
        </w:rPr>
      </w:pPr>
    </w:p>
    <w:p w14:paraId="5710EEAD" w14:textId="52D42227" w:rsidR="00350C32" w:rsidRPr="000A04CB"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 xml:space="preserve">O grau de endividamento </w:t>
      </w:r>
      <w:r w:rsidRPr="00784885">
        <w:rPr>
          <w:rFonts w:ascii="Arial" w:eastAsia="Calibri" w:hAnsi="Arial" w:cs="Arial"/>
          <w:lang w:eastAsia="en-US"/>
        </w:rPr>
        <w:t xml:space="preserve">ficou </w:t>
      </w:r>
      <w:r w:rsidRPr="005B0203">
        <w:rPr>
          <w:rFonts w:ascii="Arial" w:eastAsia="Calibri" w:hAnsi="Arial" w:cs="Arial"/>
          <w:lang w:eastAsia="en-US"/>
        </w:rPr>
        <w:t xml:space="preserve">em </w:t>
      </w:r>
      <w:r w:rsidR="0007381D" w:rsidRPr="005B0203">
        <w:rPr>
          <w:rFonts w:ascii="Arial" w:eastAsia="Calibri" w:hAnsi="Arial" w:cs="Arial"/>
          <w:lang w:eastAsia="en-US"/>
        </w:rPr>
        <w:t>4</w:t>
      </w:r>
      <w:r w:rsidR="005B0203" w:rsidRPr="005B0203">
        <w:rPr>
          <w:rFonts w:ascii="Arial" w:eastAsia="Calibri" w:hAnsi="Arial" w:cs="Arial"/>
          <w:lang w:eastAsia="en-US"/>
        </w:rPr>
        <w:t>7</w:t>
      </w:r>
      <w:r w:rsidRPr="005B0203">
        <w:rPr>
          <w:rFonts w:ascii="Arial" w:eastAsia="Calibri" w:hAnsi="Arial" w:cs="Arial"/>
          <w:lang w:eastAsia="en-US"/>
        </w:rPr>
        <w:t>,</w:t>
      </w:r>
      <w:r w:rsidR="005B0203" w:rsidRPr="005B0203">
        <w:rPr>
          <w:rFonts w:ascii="Arial" w:eastAsia="Calibri" w:hAnsi="Arial" w:cs="Arial"/>
          <w:lang w:eastAsia="en-US"/>
        </w:rPr>
        <w:t>2</w:t>
      </w:r>
      <w:r w:rsidRPr="005B0203">
        <w:rPr>
          <w:rFonts w:ascii="Arial" w:eastAsia="Calibri" w:hAnsi="Arial" w:cs="Arial"/>
          <w:lang w:eastAsia="en-US"/>
        </w:rPr>
        <w:t>%</w:t>
      </w:r>
      <w:r w:rsidRPr="001274B5">
        <w:rPr>
          <w:rFonts w:ascii="Arial" w:eastAsia="Calibri" w:hAnsi="Arial" w:cs="Arial"/>
          <w:lang w:eastAsia="en-US"/>
        </w:rPr>
        <w:t xml:space="preserve"> no</w:t>
      </w:r>
      <w:r w:rsidRPr="00784885">
        <w:rPr>
          <w:rFonts w:ascii="Arial" w:eastAsia="Calibri" w:hAnsi="Arial" w:cs="Arial"/>
          <w:lang w:eastAsia="en-US"/>
        </w:rPr>
        <w:t xml:space="preserve"> fechamento</w:t>
      </w:r>
      <w:r w:rsidRPr="000A04CB">
        <w:rPr>
          <w:rFonts w:ascii="Arial" w:eastAsia="Calibri" w:hAnsi="Arial" w:cs="Arial"/>
          <w:lang w:eastAsia="en-US"/>
        </w:rPr>
        <w:t xml:space="preserve"> do </w:t>
      </w:r>
      <w:r w:rsidR="001A0449">
        <w:rPr>
          <w:rFonts w:ascii="Arial" w:eastAsia="Calibri" w:hAnsi="Arial" w:cs="Arial"/>
          <w:lang w:eastAsia="en-US"/>
        </w:rPr>
        <w:t>4</w:t>
      </w:r>
      <w:r w:rsidRPr="000A04CB">
        <w:rPr>
          <w:rFonts w:ascii="Arial" w:eastAsia="Calibri" w:hAnsi="Arial" w:cs="Arial"/>
          <w:lang w:eastAsia="en-US"/>
        </w:rPr>
        <w:t>T2</w:t>
      </w:r>
      <w:r w:rsidR="00AB0B51">
        <w:rPr>
          <w:rFonts w:ascii="Arial" w:eastAsia="Calibri" w:hAnsi="Arial" w:cs="Arial"/>
          <w:lang w:eastAsia="en-US"/>
        </w:rPr>
        <w:t>2</w:t>
      </w:r>
      <w:r w:rsidRPr="000A04CB">
        <w:rPr>
          <w:rFonts w:ascii="Arial" w:eastAsia="Calibri" w:hAnsi="Arial" w:cs="Arial"/>
          <w:lang w:eastAsia="en-US"/>
        </w:rPr>
        <w:t xml:space="preserve"> (</w:t>
      </w:r>
      <w:r>
        <w:rPr>
          <w:rFonts w:ascii="Arial" w:eastAsia="Calibri" w:hAnsi="Arial" w:cs="Arial"/>
          <w:lang w:eastAsia="en-US"/>
        </w:rPr>
        <w:t>4</w:t>
      </w:r>
      <w:r w:rsidR="00AB0B51">
        <w:rPr>
          <w:rFonts w:ascii="Arial" w:eastAsia="Calibri" w:hAnsi="Arial" w:cs="Arial"/>
          <w:lang w:eastAsia="en-US"/>
        </w:rPr>
        <w:t>6</w:t>
      </w:r>
      <w:r>
        <w:rPr>
          <w:rFonts w:ascii="Arial" w:eastAsia="Calibri" w:hAnsi="Arial" w:cs="Arial"/>
          <w:lang w:eastAsia="en-US"/>
        </w:rPr>
        <w:t>,</w:t>
      </w:r>
      <w:r w:rsidR="00AB0B51">
        <w:rPr>
          <w:rFonts w:ascii="Arial" w:eastAsia="Calibri" w:hAnsi="Arial" w:cs="Arial"/>
          <w:lang w:eastAsia="en-US"/>
        </w:rPr>
        <w:t>5</w:t>
      </w:r>
      <w:r w:rsidRPr="000A04CB">
        <w:rPr>
          <w:rFonts w:ascii="Arial" w:eastAsia="Calibri" w:hAnsi="Arial" w:cs="Arial"/>
          <w:lang w:eastAsia="en-US"/>
        </w:rPr>
        <w:t xml:space="preserve">% no </w:t>
      </w:r>
      <w:r w:rsidR="001A0449">
        <w:rPr>
          <w:rFonts w:ascii="Arial" w:eastAsia="Calibri" w:hAnsi="Arial" w:cs="Arial"/>
          <w:lang w:eastAsia="en-US"/>
        </w:rPr>
        <w:t>4</w:t>
      </w:r>
      <w:r w:rsidRPr="000A04CB">
        <w:rPr>
          <w:rFonts w:ascii="Arial" w:eastAsia="Calibri" w:hAnsi="Arial" w:cs="Arial"/>
          <w:lang w:eastAsia="en-US"/>
        </w:rPr>
        <w:t>T</w:t>
      </w:r>
      <w:r>
        <w:rPr>
          <w:rFonts w:ascii="Arial" w:eastAsia="Calibri" w:hAnsi="Arial" w:cs="Arial"/>
          <w:lang w:eastAsia="en-US"/>
        </w:rPr>
        <w:t>2</w:t>
      </w:r>
      <w:r w:rsidR="00AB0B51">
        <w:rPr>
          <w:rFonts w:ascii="Arial" w:eastAsia="Calibri" w:hAnsi="Arial" w:cs="Arial"/>
          <w:lang w:eastAsia="en-US"/>
        </w:rPr>
        <w:t>1</w:t>
      </w:r>
      <w:r w:rsidRPr="000A04CB">
        <w:rPr>
          <w:rFonts w:ascii="Arial" w:eastAsia="Calibri" w:hAnsi="Arial" w:cs="Arial"/>
          <w:lang w:eastAsia="en-US"/>
        </w:rPr>
        <w:t>).</w:t>
      </w:r>
    </w:p>
    <w:p w14:paraId="0E68ADEE" w14:textId="77777777" w:rsidR="006C5A3F" w:rsidRPr="00AB0B51" w:rsidRDefault="006C5A3F" w:rsidP="00A263FE">
      <w:pPr>
        <w:tabs>
          <w:tab w:val="num" w:pos="-993"/>
        </w:tabs>
        <w:ind w:left="-993" w:right="226"/>
        <w:contextualSpacing/>
        <w:jc w:val="both"/>
        <w:rPr>
          <w:rFonts w:ascii="Arial" w:eastAsia="Calibri" w:hAnsi="Arial" w:cs="Arial"/>
          <w:lang w:eastAsia="en-US"/>
        </w:rPr>
      </w:pPr>
    </w:p>
    <w:p w14:paraId="35B165F7" w14:textId="6F60C9EA" w:rsidR="00350C32" w:rsidRPr="000A04CB" w:rsidRDefault="00350C32" w:rsidP="00AB0B51">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t>Apresentamos a seguir, a composição dos empréstimos, financiamentos, debêntures e arrendamento</w:t>
      </w:r>
      <w:r>
        <w:rPr>
          <w:rFonts w:ascii="Arial" w:eastAsia="Calibri" w:hAnsi="Arial" w:cs="Arial"/>
          <w:lang w:eastAsia="en-US"/>
        </w:rPr>
        <w:t>s</w:t>
      </w:r>
      <w:r w:rsidRPr="000A04CB">
        <w:rPr>
          <w:rFonts w:ascii="Arial" w:eastAsia="Calibri" w:hAnsi="Arial" w:cs="Arial"/>
          <w:lang w:eastAsia="en-US"/>
        </w:rPr>
        <w:t>, com suas respectivas taxas de juros, vencimentos e saldos devedores em 3</w:t>
      </w:r>
      <w:r w:rsidR="001A0449">
        <w:rPr>
          <w:rFonts w:ascii="Arial" w:eastAsia="Calibri" w:hAnsi="Arial" w:cs="Arial"/>
          <w:lang w:eastAsia="en-US"/>
        </w:rPr>
        <w:t xml:space="preserve">1 </w:t>
      </w:r>
      <w:r>
        <w:rPr>
          <w:rFonts w:ascii="Arial" w:eastAsia="Calibri" w:hAnsi="Arial" w:cs="Arial"/>
          <w:lang w:eastAsia="en-US"/>
        </w:rPr>
        <w:t xml:space="preserve">de </w:t>
      </w:r>
      <w:r w:rsidR="001A0449">
        <w:rPr>
          <w:rFonts w:ascii="Arial" w:eastAsia="Calibri" w:hAnsi="Arial" w:cs="Arial"/>
          <w:lang w:eastAsia="en-US"/>
        </w:rPr>
        <w:t>dezembro</w:t>
      </w:r>
      <w:r w:rsidR="00115007">
        <w:rPr>
          <w:rFonts w:ascii="Arial" w:eastAsia="Calibri" w:hAnsi="Arial" w:cs="Arial"/>
          <w:lang w:eastAsia="en-US"/>
        </w:rPr>
        <w:t xml:space="preserve"> </w:t>
      </w:r>
      <w:r w:rsidRPr="000A04CB">
        <w:rPr>
          <w:rFonts w:ascii="Arial" w:eastAsia="Calibri" w:hAnsi="Arial" w:cs="Arial"/>
          <w:lang w:eastAsia="en-US"/>
        </w:rPr>
        <w:t>de 202</w:t>
      </w:r>
      <w:r w:rsidR="00AB0B51">
        <w:rPr>
          <w:rFonts w:ascii="Arial" w:eastAsia="Calibri" w:hAnsi="Arial" w:cs="Arial"/>
          <w:lang w:eastAsia="en-US"/>
        </w:rPr>
        <w:t>2</w:t>
      </w:r>
      <w:r w:rsidRPr="000A04CB">
        <w:rPr>
          <w:rFonts w:ascii="Arial" w:eastAsia="Calibri" w:hAnsi="Arial" w:cs="Arial"/>
          <w:lang w:eastAsia="en-US"/>
        </w:rPr>
        <w:t>:</w:t>
      </w:r>
    </w:p>
    <w:p w14:paraId="71A189D9" w14:textId="77777777" w:rsidR="00350C32" w:rsidRPr="00AB0B51" w:rsidRDefault="00350C32" w:rsidP="00A263FE">
      <w:pPr>
        <w:tabs>
          <w:tab w:val="num" w:pos="-993"/>
        </w:tabs>
        <w:ind w:left="-993" w:right="226"/>
        <w:contextualSpacing/>
        <w:jc w:val="both"/>
        <w:rPr>
          <w:rFonts w:ascii="Arial" w:eastAsia="Calibri" w:hAnsi="Arial" w:cs="Arial"/>
          <w:lang w:eastAsia="en-US"/>
        </w:rPr>
      </w:pPr>
    </w:p>
    <w:bookmarkStart w:id="23" w:name="_MON_1658213867"/>
    <w:bookmarkEnd w:id="23"/>
    <w:p w14:paraId="5D3230DB" w14:textId="0448A28C" w:rsidR="00350C32" w:rsidRPr="00EC7340" w:rsidRDefault="007074F4" w:rsidP="00A263FE">
      <w:pPr>
        <w:tabs>
          <w:tab w:val="num" w:pos="-993"/>
        </w:tabs>
        <w:ind w:left="-993" w:right="226"/>
        <w:contextualSpacing/>
        <w:jc w:val="both"/>
        <w:rPr>
          <w:rFonts w:ascii="Arial" w:eastAsia="Calibri" w:hAnsi="Arial" w:cs="Arial"/>
          <w:sz w:val="23"/>
          <w:szCs w:val="23"/>
          <w:lang w:eastAsia="en-US"/>
        </w:rPr>
      </w:pPr>
      <w:r>
        <w:rPr>
          <w:rFonts w:ascii="Arial" w:eastAsia="Calibri" w:hAnsi="Arial" w:cs="Arial"/>
          <w:sz w:val="23"/>
          <w:szCs w:val="23"/>
          <w:lang w:eastAsia="en-US"/>
        </w:rPr>
        <w:object w:dxaOrig="10663" w:dyaOrig="7953" w14:anchorId="63DD68E0">
          <v:shape id="_x0000_i1044" type="#_x0000_t75" style="width:531.15pt;height:396.7pt" o:ole="">
            <v:imagedata r:id="rId50" o:title=""/>
          </v:shape>
          <o:OLEObject Type="Embed" ProgID="Excel.Sheet.12" ShapeID="_x0000_i1044" DrawAspect="Content" ObjectID="_1737529306" r:id="rId51"/>
        </w:object>
      </w:r>
    </w:p>
    <w:p w14:paraId="6343008F" w14:textId="77777777" w:rsidR="00AB0B51" w:rsidRPr="00AB0B51" w:rsidRDefault="00AB0B51" w:rsidP="00A263FE">
      <w:pPr>
        <w:tabs>
          <w:tab w:val="num" w:pos="-993"/>
        </w:tabs>
        <w:ind w:left="-993" w:right="226"/>
        <w:contextualSpacing/>
        <w:jc w:val="both"/>
        <w:rPr>
          <w:rFonts w:ascii="Arial" w:eastAsia="Calibri" w:hAnsi="Arial" w:cs="Arial"/>
          <w:sz w:val="10"/>
          <w:szCs w:val="10"/>
          <w:lang w:eastAsia="en-US"/>
        </w:rPr>
      </w:pPr>
    </w:p>
    <w:p w14:paraId="69893878" w14:textId="24301283" w:rsidR="00350C32" w:rsidRPr="00EC7340" w:rsidRDefault="00350C32" w:rsidP="00A263FE">
      <w:pPr>
        <w:tabs>
          <w:tab w:val="num" w:pos="-993"/>
        </w:tabs>
        <w:ind w:left="-993" w:right="226"/>
        <w:contextualSpacing/>
        <w:jc w:val="both"/>
        <w:rPr>
          <w:rFonts w:ascii="Arial" w:eastAsia="Calibri" w:hAnsi="Arial" w:cs="Arial"/>
          <w:sz w:val="16"/>
          <w:szCs w:val="16"/>
          <w:lang w:eastAsia="en-US"/>
        </w:rPr>
      </w:pPr>
      <w:r w:rsidRPr="00EC7340">
        <w:rPr>
          <w:rFonts w:ascii="Arial" w:eastAsia="Calibri" w:hAnsi="Arial" w:cs="Arial"/>
          <w:sz w:val="16"/>
          <w:szCs w:val="16"/>
          <w:lang w:eastAsia="en-US"/>
        </w:rPr>
        <w:t>* IPCA como componente variável da TLP</w:t>
      </w:r>
    </w:p>
    <w:p w14:paraId="61CCA02B" w14:textId="6F2F014D" w:rsidR="00AB0B51" w:rsidRDefault="00AB0B51" w:rsidP="00A263FE">
      <w:pPr>
        <w:tabs>
          <w:tab w:val="num" w:pos="-993"/>
        </w:tabs>
        <w:spacing w:after="160" w:line="259" w:lineRule="auto"/>
        <w:ind w:left="-993" w:right="226"/>
        <w:contextualSpacing/>
        <w:jc w:val="both"/>
        <w:rPr>
          <w:rFonts w:ascii="Arial" w:eastAsia="Calibri" w:hAnsi="Arial" w:cs="Arial"/>
          <w:lang w:eastAsia="en-US"/>
        </w:rPr>
      </w:pPr>
    </w:p>
    <w:p w14:paraId="7951EB5E" w14:textId="56BF73DA" w:rsidR="00AB0B51" w:rsidRDefault="00AB0B51" w:rsidP="00A263FE">
      <w:pPr>
        <w:tabs>
          <w:tab w:val="num" w:pos="-993"/>
        </w:tabs>
        <w:spacing w:after="160" w:line="259" w:lineRule="auto"/>
        <w:ind w:left="-993" w:right="226"/>
        <w:contextualSpacing/>
        <w:jc w:val="both"/>
        <w:rPr>
          <w:rFonts w:ascii="Arial" w:eastAsia="Calibri" w:hAnsi="Arial" w:cs="Arial"/>
          <w:lang w:eastAsia="en-US"/>
        </w:rPr>
      </w:pPr>
    </w:p>
    <w:p w14:paraId="09CC5208" w14:textId="7E73BC98" w:rsidR="00AB0B51" w:rsidRDefault="00AB0B51" w:rsidP="00A263FE">
      <w:pPr>
        <w:tabs>
          <w:tab w:val="num" w:pos="-993"/>
        </w:tabs>
        <w:spacing w:after="160" w:line="259" w:lineRule="auto"/>
        <w:ind w:left="-993" w:right="226"/>
        <w:contextualSpacing/>
        <w:jc w:val="both"/>
        <w:rPr>
          <w:rFonts w:ascii="Arial" w:eastAsia="Calibri" w:hAnsi="Arial" w:cs="Arial"/>
          <w:lang w:eastAsia="en-US"/>
        </w:rPr>
      </w:pPr>
    </w:p>
    <w:p w14:paraId="3916FC32" w14:textId="41D5D013" w:rsidR="00AB0B51" w:rsidRDefault="00AB0B51" w:rsidP="00A263FE">
      <w:pPr>
        <w:tabs>
          <w:tab w:val="num" w:pos="-993"/>
        </w:tabs>
        <w:spacing w:after="160" w:line="259" w:lineRule="auto"/>
        <w:ind w:left="-993" w:right="226"/>
        <w:contextualSpacing/>
        <w:jc w:val="both"/>
        <w:rPr>
          <w:rFonts w:ascii="Arial" w:eastAsia="Calibri" w:hAnsi="Arial" w:cs="Arial"/>
          <w:lang w:eastAsia="en-US"/>
        </w:rPr>
      </w:pPr>
    </w:p>
    <w:p w14:paraId="429C2E70" w14:textId="7CAE47BD" w:rsidR="00AB0B51" w:rsidRDefault="00AB0B51" w:rsidP="00A263FE">
      <w:pPr>
        <w:tabs>
          <w:tab w:val="num" w:pos="-993"/>
        </w:tabs>
        <w:spacing w:after="160" w:line="259" w:lineRule="auto"/>
        <w:ind w:left="-993" w:right="226"/>
        <w:contextualSpacing/>
        <w:jc w:val="both"/>
        <w:rPr>
          <w:rFonts w:ascii="Arial" w:eastAsia="Calibri" w:hAnsi="Arial" w:cs="Arial"/>
          <w:lang w:eastAsia="en-US"/>
        </w:rPr>
      </w:pPr>
    </w:p>
    <w:p w14:paraId="5FFE0344" w14:textId="7D7DE524" w:rsidR="00350C32" w:rsidRPr="000A04CB" w:rsidRDefault="00350C32" w:rsidP="00A263FE">
      <w:pPr>
        <w:tabs>
          <w:tab w:val="num" w:pos="-993"/>
        </w:tabs>
        <w:spacing w:after="160" w:line="259" w:lineRule="auto"/>
        <w:ind w:left="-993" w:right="226"/>
        <w:contextualSpacing/>
        <w:jc w:val="both"/>
        <w:rPr>
          <w:rFonts w:ascii="Arial" w:eastAsia="Calibri" w:hAnsi="Arial" w:cs="Arial"/>
          <w:lang w:eastAsia="en-US"/>
        </w:rPr>
      </w:pPr>
      <w:r w:rsidRPr="000A04CB">
        <w:rPr>
          <w:rFonts w:ascii="Arial" w:eastAsia="Calibri" w:hAnsi="Arial" w:cs="Arial"/>
          <w:lang w:eastAsia="en-US"/>
        </w:rPr>
        <w:lastRenderedPageBreak/>
        <w:t>Apresentamos a seguir, o perfil da dívida em relação ao cronograma de vencimento:</w:t>
      </w:r>
    </w:p>
    <w:p w14:paraId="2ED02225" w14:textId="77777777" w:rsidR="00350C32" w:rsidRPr="00AB0B51" w:rsidRDefault="00350C32" w:rsidP="00A263FE">
      <w:pPr>
        <w:tabs>
          <w:tab w:val="num" w:pos="-993"/>
        </w:tabs>
        <w:ind w:left="-993" w:right="226"/>
        <w:contextualSpacing/>
        <w:rPr>
          <w:rFonts w:ascii="Arial" w:eastAsia="Calibri" w:hAnsi="Arial" w:cs="Arial"/>
          <w:lang w:eastAsia="en-US"/>
        </w:rPr>
      </w:pPr>
    </w:p>
    <w:bookmarkStart w:id="24" w:name="_MON_1603613985"/>
    <w:bookmarkEnd w:id="24"/>
    <w:p w14:paraId="01BAA223" w14:textId="30CD69FA" w:rsidR="00350C32" w:rsidRDefault="009E41A9" w:rsidP="00A263FE">
      <w:pPr>
        <w:tabs>
          <w:tab w:val="num" w:pos="-993"/>
        </w:tabs>
        <w:ind w:left="-993" w:right="226"/>
        <w:contextualSpacing/>
        <w:rPr>
          <w:rFonts w:ascii="Arial" w:eastAsia="Calibri" w:hAnsi="Arial" w:cs="Arial"/>
          <w:sz w:val="22"/>
          <w:szCs w:val="22"/>
          <w:lang w:eastAsia="en-US"/>
        </w:rPr>
      </w:pPr>
      <w:r w:rsidRPr="00EC7340">
        <w:rPr>
          <w:rFonts w:ascii="Arial" w:eastAsia="Calibri" w:hAnsi="Arial" w:cs="Arial"/>
          <w:sz w:val="22"/>
          <w:szCs w:val="22"/>
          <w:lang w:eastAsia="en-US"/>
        </w:rPr>
        <w:object w:dxaOrig="10199" w:dyaOrig="2006" w14:anchorId="18DE7780">
          <v:shape id="_x0000_i1045" type="#_x0000_t75" style="width:531.85pt;height:101.2pt" o:ole="">
            <v:imagedata r:id="rId52" o:title=""/>
          </v:shape>
          <o:OLEObject Type="Embed" ProgID="Excel.Sheet.12" ShapeID="_x0000_i1045" DrawAspect="Content" ObjectID="_1737529307" r:id="rId53"/>
        </w:object>
      </w:r>
    </w:p>
    <w:p w14:paraId="4B1DC878" w14:textId="0623467F" w:rsidR="00F40C9D" w:rsidRDefault="00F40C9D" w:rsidP="00A263FE">
      <w:pPr>
        <w:pStyle w:val="Cabealho"/>
        <w:tabs>
          <w:tab w:val="clear" w:pos="4419"/>
          <w:tab w:val="clear" w:pos="8838"/>
          <w:tab w:val="num" w:pos="-993"/>
        </w:tabs>
        <w:ind w:left="-993" w:right="226"/>
        <w:rPr>
          <w:rFonts w:ascii="Arial" w:eastAsia="Times New Roman" w:hAnsi="Arial" w:cs="Arial"/>
          <w:b/>
          <w:bCs/>
          <w:color w:val="355993"/>
        </w:rPr>
      </w:pPr>
    </w:p>
    <w:p w14:paraId="12543D2C" w14:textId="77777777" w:rsidR="00F25AE8" w:rsidRDefault="00F25AE8" w:rsidP="00A263FE">
      <w:pPr>
        <w:pStyle w:val="Cabealho"/>
        <w:tabs>
          <w:tab w:val="clear" w:pos="4419"/>
          <w:tab w:val="clear" w:pos="8838"/>
          <w:tab w:val="num" w:pos="-993"/>
        </w:tabs>
        <w:ind w:left="-993" w:right="226"/>
        <w:rPr>
          <w:rFonts w:ascii="Arial" w:eastAsia="Times New Roman" w:hAnsi="Arial" w:cs="Arial"/>
          <w:b/>
          <w:bCs/>
          <w:color w:val="355993"/>
        </w:rPr>
      </w:pPr>
    </w:p>
    <w:p w14:paraId="56996AAE" w14:textId="77777777" w:rsidR="00AB0B51" w:rsidRPr="00676E7E" w:rsidRDefault="00AB0B51" w:rsidP="00AB0B51">
      <w:pPr>
        <w:pStyle w:val="Cabealho"/>
        <w:numPr>
          <w:ilvl w:val="0"/>
          <w:numId w:val="9"/>
        </w:numPr>
        <w:tabs>
          <w:tab w:val="clear" w:pos="4419"/>
          <w:tab w:val="clear" w:pos="8838"/>
          <w:tab w:val="num" w:pos="-993"/>
        </w:tabs>
        <w:ind w:left="-993" w:right="226" w:firstLine="0"/>
        <w:rPr>
          <w:rFonts w:ascii="Arial" w:eastAsia="Times New Roman" w:hAnsi="Arial" w:cs="Arial"/>
          <w:b/>
          <w:bCs/>
          <w:color w:val="355993"/>
        </w:rPr>
      </w:pPr>
      <w:r w:rsidRPr="00676E7E">
        <w:rPr>
          <w:rFonts w:ascii="Arial" w:eastAsia="Times New Roman" w:hAnsi="Arial" w:cs="Arial"/>
          <w:b/>
          <w:bCs/>
          <w:color w:val="355993"/>
        </w:rPr>
        <w:t>REGULAÇÃO</w:t>
      </w:r>
    </w:p>
    <w:p w14:paraId="569E66E2" w14:textId="77777777" w:rsidR="00AB0B51" w:rsidRPr="00676E7E" w:rsidRDefault="00AB0B51" w:rsidP="00AB0B51">
      <w:pPr>
        <w:tabs>
          <w:tab w:val="num" w:pos="-993"/>
        </w:tabs>
        <w:spacing w:after="160" w:line="259" w:lineRule="auto"/>
        <w:ind w:left="-993" w:right="226"/>
        <w:contextualSpacing/>
        <w:rPr>
          <w:rFonts w:ascii="Arial" w:eastAsia="Calibri" w:hAnsi="Arial" w:cs="Arial"/>
          <w:b/>
          <w:color w:val="355993"/>
          <w:lang w:eastAsia="en-US"/>
        </w:rPr>
      </w:pPr>
    </w:p>
    <w:p w14:paraId="15DDC57E" w14:textId="77777777" w:rsidR="00AB0B51" w:rsidRPr="00676E7E" w:rsidRDefault="00AB0B51" w:rsidP="00AB0B51">
      <w:pPr>
        <w:tabs>
          <w:tab w:val="num" w:pos="-993"/>
        </w:tabs>
        <w:ind w:left="-993" w:right="226"/>
        <w:jc w:val="both"/>
        <w:rPr>
          <w:rFonts w:ascii="Arial" w:eastAsia="Times New Roman" w:hAnsi="Arial" w:cs="Arial"/>
          <w:b/>
          <w:bCs/>
          <w:color w:val="355993"/>
          <w:sz w:val="23"/>
          <w:szCs w:val="23"/>
        </w:rPr>
      </w:pPr>
      <w:r w:rsidRPr="00676E7E">
        <w:rPr>
          <w:rFonts w:ascii="Arial" w:eastAsia="Times New Roman" w:hAnsi="Arial" w:cs="Arial"/>
          <w:b/>
          <w:bCs/>
          <w:color w:val="355993"/>
          <w:sz w:val="23"/>
          <w:szCs w:val="23"/>
        </w:rPr>
        <w:t>Parcela F - Conta de variação da Parcela A (CVA)</w:t>
      </w:r>
    </w:p>
    <w:p w14:paraId="77EE40FF" w14:textId="77777777" w:rsidR="00AB0B51" w:rsidRPr="00AB0B51" w:rsidRDefault="00AB0B51" w:rsidP="00AB0B51">
      <w:pPr>
        <w:tabs>
          <w:tab w:val="num" w:pos="-993"/>
          <w:tab w:val="num" w:pos="142"/>
        </w:tabs>
        <w:spacing w:after="160" w:line="259" w:lineRule="auto"/>
        <w:ind w:left="-993" w:right="226"/>
        <w:contextualSpacing/>
        <w:jc w:val="both"/>
        <w:rPr>
          <w:rFonts w:ascii="Arial" w:eastAsia="Calibri" w:hAnsi="Arial" w:cs="Arial"/>
          <w:highlight w:val="yellow"/>
          <w:lang w:eastAsia="en-US"/>
        </w:rPr>
      </w:pPr>
    </w:p>
    <w:p w14:paraId="66CAFDFD"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A conta de Compensação de Variação dos Itens da Parcela “A” (CVA) corresponde à compensação da soma das diferenças mensais, positivas ou negativas, calculadas em função das variações dos custos de energia elétrica, produtos químicos e encargos setoriais, corrigidos pelo IPCA.</w:t>
      </w:r>
    </w:p>
    <w:p w14:paraId="147ECFBE" w14:textId="77777777" w:rsidR="00676E7E" w:rsidRPr="004C496A" w:rsidRDefault="00676E7E" w:rsidP="00676E7E">
      <w:pPr>
        <w:tabs>
          <w:tab w:val="num" w:pos="-993"/>
          <w:tab w:val="num" w:pos="142"/>
        </w:tabs>
        <w:spacing w:after="160" w:line="259" w:lineRule="auto"/>
        <w:ind w:left="-993" w:right="226"/>
        <w:contextualSpacing/>
        <w:jc w:val="both"/>
        <w:rPr>
          <w:rFonts w:ascii="Arial" w:eastAsia="Calibri" w:hAnsi="Arial" w:cs="Arial"/>
          <w:lang w:eastAsia="en-US"/>
        </w:rPr>
      </w:pPr>
    </w:p>
    <w:p w14:paraId="5FF47706"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 xml:space="preserve">A CVA é determinada a partir do custo histórico verificado no período t-1 para os três componentes supracitados e é repassada via reajuste no período t. </w:t>
      </w:r>
    </w:p>
    <w:p w14:paraId="40871A90" w14:textId="77777777" w:rsidR="00676E7E" w:rsidRPr="004C496A" w:rsidRDefault="00676E7E" w:rsidP="00676E7E">
      <w:pPr>
        <w:tabs>
          <w:tab w:val="num" w:pos="-993"/>
          <w:tab w:val="num" w:pos="142"/>
        </w:tabs>
        <w:spacing w:after="160" w:line="259" w:lineRule="auto"/>
        <w:ind w:left="-993" w:right="226"/>
        <w:contextualSpacing/>
        <w:jc w:val="both"/>
        <w:rPr>
          <w:rFonts w:ascii="Arial" w:eastAsia="Calibri" w:hAnsi="Arial" w:cs="Arial"/>
          <w:lang w:eastAsia="en-US"/>
        </w:rPr>
      </w:pPr>
    </w:p>
    <w:p w14:paraId="1A12EA0B"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 xml:space="preserve">O cálculo do reajuste tarifário da Parcela A pressupõe que no período seguinte ocorrerá exatamente o mesmo volume (m³) verificado no ano base do cálculo e ao final do período t o saldo da CVA seria zero. </w:t>
      </w:r>
    </w:p>
    <w:p w14:paraId="62A978C4"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p>
    <w:p w14:paraId="1A8AF011"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Portanto, a formulação básica do reajuste tarifário, não garante o repasse (</w:t>
      </w:r>
      <w:r w:rsidRPr="004C496A">
        <w:rPr>
          <w:rFonts w:ascii="Arial" w:eastAsia="Calibri" w:hAnsi="Arial" w:cs="Arial"/>
          <w:i/>
          <w:lang w:eastAsia="en-US"/>
        </w:rPr>
        <w:t>pass through</w:t>
      </w:r>
      <w:r w:rsidRPr="004C496A">
        <w:rPr>
          <w:rFonts w:ascii="Arial" w:eastAsia="Calibri" w:hAnsi="Arial" w:cs="Arial"/>
          <w:lang w:eastAsia="en-US"/>
        </w:rPr>
        <w:t>) perfeito dos custos não gerenciáveis para o consumidor, uma vez que não considera, por exemplo, a diferença entre o mercado de referência e o mercado de aplicação (m³ faturado).</w:t>
      </w:r>
    </w:p>
    <w:p w14:paraId="5F286F20"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p>
    <w:p w14:paraId="2D3C0C3F"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676E7E">
        <w:rPr>
          <w:rFonts w:ascii="Arial" w:eastAsia="Calibri" w:hAnsi="Arial" w:cs="Arial"/>
          <w:lang w:eastAsia="en-US"/>
        </w:rPr>
        <w:t>Em 2022 a CVA da Companhia, apurada de forma gerencial, apresentou um saldo positivo de R$</w:t>
      </w:r>
      <w:r w:rsidRPr="004C496A">
        <w:rPr>
          <w:rFonts w:ascii="Arial" w:eastAsia="Calibri" w:hAnsi="Arial" w:cs="Arial"/>
          <w:lang w:eastAsia="en-US"/>
        </w:rPr>
        <w:t xml:space="preserve"> </w:t>
      </w:r>
      <w:r w:rsidRPr="00AD5947">
        <w:rPr>
          <w:rFonts w:ascii="Arial" w:eastAsia="Calibri" w:hAnsi="Arial" w:cs="Arial"/>
          <w:lang w:eastAsia="en-US"/>
        </w:rPr>
        <w:t>106,2 milhões, que a Sanepar deverá recuperar, via tarifa.</w:t>
      </w:r>
    </w:p>
    <w:p w14:paraId="73AE9CC2" w14:textId="77777777" w:rsidR="00676E7E" w:rsidRPr="004C496A" w:rsidRDefault="00676E7E" w:rsidP="00676E7E">
      <w:pPr>
        <w:tabs>
          <w:tab w:val="num" w:pos="-993"/>
          <w:tab w:val="num" w:pos="142"/>
        </w:tabs>
        <w:spacing w:after="160" w:line="259" w:lineRule="auto"/>
        <w:ind w:left="-993" w:right="226"/>
        <w:contextualSpacing/>
        <w:jc w:val="both"/>
        <w:rPr>
          <w:rFonts w:ascii="Arial" w:eastAsia="Calibri" w:hAnsi="Arial" w:cs="Arial"/>
          <w:lang w:eastAsia="en-US"/>
        </w:rPr>
      </w:pPr>
    </w:p>
    <w:p w14:paraId="0CC0B072"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A Companhia está divulgando o EBITDA Ajustado com os itens não gerenciáveis como métrica para analisar os impactos da compensação dos itens da parcela “A” (energia elétrica, material de tratamento, taxas e encargos) do modelo tarifário.</w:t>
      </w:r>
      <w:r>
        <w:rPr>
          <w:rFonts w:ascii="Arial" w:eastAsia="Calibri" w:hAnsi="Arial" w:cs="Arial"/>
          <w:lang w:eastAsia="en-US"/>
        </w:rPr>
        <w:t xml:space="preserve"> </w:t>
      </w:r>
    </w:p>
    <w:p w14:paraId="573DC387" w14:textId="77777777"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O EBITDA ajustado com os itens não gerenciáveis é uma medição não contábil e não deve ser considerado isoladamente como um indicador operacional ou fluxo de caixa ou para medir a liquidez ou capacidade da dívida da Companhia.</w:t>
      </w:r>
    </w:p>
    <w:p w14:paraId="4EA76039" w14:textId="44BB7BF4" w:rsidR="00F25AE8" w:rsidRDefault="00F25AE8" w:rsidP="00676E7E">
      <w:pPr>
        <w:tabs>
          <w:tab w:val="num" w:pos="-993"/>
        </w:tabs>
        <w:spacing w:after="160" w:line="259" w:lineRule="auto"/>
        <w:ind w:left="-993" w:right="226"/>
        <w:contextualSpacing/>
        <w:jc w:val="both"/>
        <w:rPr>
          <w:rFonts w:ascii="Arial" w:eastAsia="Calibri" w:hAnsi="Arial" w:cs="Arial"/>
          <w:lang w:eastAsia="en-US"/>
        </w:rPr>
      </w:pPr>
    </w:p>
    <w:p w14:paraId="678F179B" w14:textId="77897896" w:rsidR="00F25AE8" w:rsidRDefault="00F25AE8" w:rsidP="00676E7E">
      <w:pPr>
        <w:tabs>
          <w:tab w:val="num" w:pos="-993"/>
        </w:tabs>
        <w:spacing w:after="160" w:line="259" w:lineRule="auto"/>
        <w:ind w:left="-993" w:right="226"/>
        <w:contextualSpacing/>
        <w:jc w:val="both"/>
        <w:rPr>
          <w:rFonts w:ascii="Arial" w:eastAsia="Calibri" w:hAnsi="Arial" w:cs="Arial"/>
          <w:lang w:eastAsia="en-US"/>
        </w:rPr>
      </w:pPr>
    </w:p>
    <w:p w14:paraId="6FE4062E" w14:textId="19CDFDF0" w:rsidR="00F25AE8" w:rsidRDefault="00F25AE8" w:rsidP="00676E7E">
      <w:pPr>
        <w:tabs>
          <w:tab w:val="num" w:pos="-993"/>
        </w:tabs>
        <w:spacing w:after="160" w:line="259" w:lineRule="auto"/>
        <w:ind w:left="-993" w:right="226"/>
        <w:contextualSpacing/>
        <w:jc w:val="both"/>
        <w:rPr>
          <w:rFonts w:ascii="Arial" w:eastAsia="Calibri" w:hAnsi="Arial" w:cs="Arial"/>
          <w:lang w:eastAsia="en-US"/>
        </w:rPr>
      </w:pPr>
    </w:p>
    <w:p w14:paraId="0E9390F8" w14:textId="4E2D3716" w:rsidR="00F25AE8" w:rsidRDefault="00F25AE8" w:rsidP="00676E7E">
      <w:pPr>
        <w:tabs>
          <w:tab w:val="num" w:pos="-993"/>
        </w:tabs>
        <w:spacing w:after="160" w:line="259" w:lineRule="auto"/>
        <w:ind w:left="-993" w:right="226"/>
        <w:contextualSpacing/>
        <w:jc w:val="both"/>
        <w:rPr>
          <w:rFonts w:ascii="Arial" w:eastAsia="Calibri" w:hAnsi="Arial" w:cs="Arial"/>
          <w:lang w:eastAsia="en-US"/>
        </w:rPr>
      </w:pPr>
    </w:p>
    <w:p w14:paraId="37A71B4A" w14:textId="5AD4913D" w:rsidR="00F25AE8" w:rsidRDefault="00F25AE8" w:rsidP="00676E7E">
      <w:pPr>
        <w:tabs>
          <w:tab w:val="num" w:pos="-993"/>
        </w:tabs>
        <w:spacing w:after="160" w:line="259" w:lineRule="auto"/>
        <w:ind w:left="-993" w:right="226"/>
        <w:contextualSpacing/>
        <w:jc w:val="both"/>
        <w:rPr>
          <w:rFonts w:ascii="Arial" w:eastAsia="Calibri" w:hAnsi="Arial" w:cs="Arial"/>
          <w:lang w:eastAsia="en-US"/>
        </w:rPr>
      </w:pPr>
    </w:p>
    <w:p w14:paraId="27D4BD5C" w14:textId="77777777" w:rsidR="00DA3655" w:rsidRDefault="00DA3655" w:rsidP="00676E7E">
      <w:pPr>
        <w:tabs>
          <w:tab w:val="num" w:pos="-993"/>
        </w:tabs>
        <w:spacing w:after="160" w:line="259" w:lineRule="auto"/>
        <w:ind w:left="-993" w:right="226"/>
        <w:contextualSpacing/>
        <w:jc w:val="both"/>
        <w:rPr>
          <w:rFonts w:ascii="Arial" w:eastAsia="Calibri" w:hAnsi="Arial" w:cs="Arial"/>
          <w:lang w:eastAsia="en-US"/>
        </w:rPr>
      </w:pPr>
    </w:p>
    <w:p w14:paraId="32DAF934" w14:textId="77777777" w:rsidR="00F25AE8" w:rsidRDefault="00F25AE8" w:rsidP="00676E7E">
      <w:pPr>
        <w:tabs>
          <w:tab w:val="num" w:pos="-993"/>
        </w:tabs>
        <w:spacing w:after="160" w:line="259" w:lineRule="auto"/>
        <w:ind w:left="-993" w:right="226"/>
        <w:contextualSpacing/>
        <w:jc w:val="both"/>
        <w:rPr>
          <w:rFonts w:ascii="Arial" w:eastAsia="Calibri" w:hAnsi="Arial" w:cs="Arial"/>
          <w:lang w:eastAsia="en-US"/>
        </w:rPr>
      </w:pPr>
    </w:p>
    <w:p w14:paraId="77F5C85C" w14:textId="362543D0" w:rsidR="00676E7E" w:rsidRPr="004C496A" w:rsidRDefault="00676E7E" w:rsidP="00676E7E">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lastRenderedPageBreak/>
        <w:t>A seguir apresentamos o cálculo do EBITDA Ajustado partindo do EBITDA, que segue a ICVM 527/12, considerando os valores estimados dos itens não gerenciáveis, acumulados até 31 de dezembro de 2022:</w:t>
      </w:r>
    </w:p>
    <w:p w14:paraId="379B36E2" w14:textId="5913E805" w:rsidR="00AB0B51" w:rsidRPr="00676E7E" w:rsidRDefault="00AB0B51" w:rsidP="00AB0B51">
      <w:pPr>
        <w:tabs>
          <w:tab w:val="num" w:pos="-993"/>
          <w:tab w:val="num" w:pos="-851"/>
        </w:tabs>
        <w:spacing w:after="160" w:line="259" w:lineRule="auto"/>
        <w:ind w:left="-993" w:right="226"/>
        <w:contextualSpacing/>
        <w:jc w:val="both"/>
        <w:rPr>
          <w:rFonts w:ascii="Arial" w:eastAsia="Calibri" w:hAnsi="Arial" w:cs="Arial"/>
          <w:sz w:val="14"/>
          <w:lang w:eastAsia="en-US"/>
        </w:rPr>
      </w:pPr>
      <w:r w:rsidRPr="00AB0B51">
        <w:rPr>
          <w:rFonts w:ascii="Arial" w:eastAsia="Calibri" w:hAnsi="Arial" w:cs="Arial"/>
          <w:highlight w:val="yellow"/>
          <w:lang w:eastAsia="en-US"/>
        </w:rPr>
        <w:t xml:space="preserve"> </w:t>
      </w:r>
      <w:bookmarkStart w:id="25" w:name="_MON_1667219536"/>
      <w:bookmarkEnd w:id="25"/>
      <w:r w:rsidR="00676E7E" w:rsidRPr="00676E7E">
        <w:rPr>
          <w:rFonts w:ascii="Arial" w:eastAsia="Calibri" w:hAnsi="Arial" w:cs="Arial"/>
          <w:sz w:val="14"/>
          <w:lang w:eastAsia="en-US"/>
        </w:rPr>
        <w:object w:dxaOrig="12131" w:dyaOrig="2104" w14:anchorId="6456299C">
          <v:shape id="_x0000_i1046" type="#_x0000_t75" style="width:529.15pt;height:93.05pt" o:ole="">
            <v:imagedata r:id="rId54" o:title=""/>
          </v:shape>
          <o:OLEObject Type="Embed" ProgID="Excel.Sheet.12" ShapeID="_x0000_i1046" DrawAspect="Content" ObjectID="_1737529308" r:id="rId55"/>
        </w:object>
      </w:r>
    </w:p>
    <w:p w14:paraId="58955AE2" w14:textId="77777777" w:rsidR="00AB0B51" w:rsidRPr="00676E7E" w:rsidRDefault="00AB0B51" w:rsidP="00AB0B51">
      <w:pPr>
        <w:tabs>
          <w:tab w:val="num" w:pos="-993"/>
          <w:tab w:val="num" w:pos="-851"/>
        </w:tabs>
        <w:spacing w:after="160" w:line="259" w:lineRule="auto"/>
        <w:ind w:left="-993" w:right="226"/>
        <w:contextualSpacing/>
        <w:jc w:val="both"/>
        <w:rPr>
          <w:rFonts w:ascii="Arial" w:eastAsia="Calibri" w:hAnsi="Arial" w:cs="Arial"/>
          <w:sz w:val="10"/>
          <w:szCs w:val="10"/>
          <w:lang w:eastAsia="en-US"/>
        </w:rPr>
      </w:pPr>
    </w:p>
    <w:p w14:paraId="74CC87AF" w14:textId="77777777" w:rsidR="00AB0B51" w:rsidRPr="00676E7E" w:rsidRDefault="00AB0B51" w:rsidP="00AB0B51">
      <w:pPr>
        <w:tabs>
          <w:tab w:val="num" w:pos="-993"/>
          <w:tab w:val="num" w:pos="-851"/>
        </w:tabs>
        <w:spacing w:after="160" w:line="259" w:lineRule="auto"/>
        <w:ind w:left="-993" w:right="226"/>
        <w:contextualSpacing/>
        <w:jc w:val="both"/>
        <w:rPr>
          <w:rFonts w:ascii="Arial" w:eastAsia="Calibri" w:hAnsi="Arial" w:cs="Arial"/>
          <w:sz w:val="18"/>
          <w:szCs w:val="18"/>
          <w:lang w:eastAsia="en-US"/>
        </w:rPr>
      </w:pPr>
      <w:r w:rsidRPr="00676E7E">
        <w:rPr>
          <w:rFonts w:ascii="Arial" w:eastAsia="Calibri" w:hAnsi="Arial" w:cs="Arial"/>
          <w:sz w:val="18"/>
          <w:szCs w:val="18"/>
          <w:lang w:eastAsia="en-US"/>
        </w:rPr>
        <w:t>* Informação não auditada ou não revisada pelos auditores independentes</w:t>
      </w:r>
    </w:p>
    <w:p w14:paraId="657E40E1" w14:textId="77777777" w:rsidR="00AB0B51" w:rsidRPr="00AB0B51" w:rsidRDefault="00AB0B51" w:rsidP="00AB0B51">
      <w:pPr>
        <w:tabs>
          <w:tab w:val="num" w:pos="-993"/>
          <w:tab w:val="num" w:pos="142"/>
        </w:tabs>
        <w:spacing w:after="160" w:line="259" w:lineRule="auto"/>
        <w:ind w:left="-993" w:right="226"/>
        <w:contextualSpacing/>
        <w:jc w:val="both"/>
        <w:rPr>
          <w:rFonts w:ascii="Arial" w:eastAsia="Times New Roman" w:hAnsi="Arial" w:cs="Arial"/>
          <w:b/>
          <w:bCs/>
          <w:color w:val="355993"/>
          <w:highlight w:val="yellow"/>
        </w:rPr>
      </w:pPr>
    </w:p>
    <w:p w14:paraId="5BC7FA0D" w14:textId="6C9D5ED7" w:rsidR="00676E7E" w:rsidRDefault="00676E7E" w:rsidP="00AB0B51">
      <w:pPr>
        <w:tabs>
          <w:tab w:val="num" w:pos="-993"/>
          <w:tab w:val="num" w:pos="142"/>
        </w:tabs>
        <w:spacing w:after="160" w:line="259" w:lineRule="auto"/>
        <w:ind w:left="-993" w:right="226"/>
        <w:contextualSpacing/>
        <w:jc w:val="both"/>
        <w:rPr>
          <w:rFonts w:ascii="Arial" w:eastAsia="Times New Roman" w:hAnsi="Arial" w:cs="Arial"/>
          <w:b/>
          <w:bCs/>
          <w:color w:val="355993"/>
          <w:highlight w:val="yellow"/>
        </w:rPr>
      </w:pPr>
      <w:r>
        <w:rPr>
          <w:rFonts w:ascii="Arial" w:eastAsia="Calibri" w:hAnsi="Arial" w:cs="Arial"/>
          <w:lang w:eastAsia="en-US"/>
        </w:rPr>
        <w:t>É importante ressaltar</w:t>
      </w:r>
      <w:r w:rsidRPr="00676E7E">
        <w:rPr>
          <w:rFonts w:ascii="Arial" w:eastAsia="Calibri" w:hAnsi="Arial" w:cs="Arial"/>
          <w:lang w:eastAsia="en-US"/>
        </w:rPr>
        <w:t xml:space="preserve"> que o atual modelo tarifário está em processo de revisão por meio da 2ª RTP, portanto as informações tarifárias divulgadas são preliminares, uma vez que serão avaliadas pelo agente regulador</w:t>
      </w:r>
      <w:r>
        <w:rPr>
          <w:rFonts w:ascii="Arial" w:eastAsia="Calibri" w:hAnsi="Arial" w:cs="Arial"/>
          <w:lang w:eastAsia="en-US"/>
        </w:rPr>
        <w:t>.</w:t>
      </w:r>
    </w:p>
    <w:p w14:paraId="5AB073DF" w14:textId="77777777" w:rsidR="00676E7E" w:rsidRDefault="00676E7E" w:rsidP="00AB0B51">
      <w:pPr>
        <w:tabs>
          <w:tab w:val="num" w:pos="-993"/>
          <w:tab w:val="num" w:pos="142"/>
        </w:tabs>
        <w:spacing w:after="160" w:line="259" w:lineRule="auto"/>
        <w:ind w:left="-993" w:right="226"/>
        <w:contextualSpacing/>
        <w:jc w:val="both"/>
        <w:rPr>
          <w:rFonts w:ascii="Arial" w:eastAsia="Times New Roman" w:hAnsi="Arial" w:cs="Arial"/>
          <w:b/>
          <w:bCs/>
          <w:color w:val="355993"/>
          <w:highlight w:val="yellow"/>
        </w:rPr>
      </w:pPr>
    </w:p>
    <w:p w14:paraId="2DD62F12" w14:textId="77777777" w:rsidR="001230AD" w:rsidRPr="004C496A" w:rsidRDefault="001230AD" w:rsidP="001230AD">
      <w:pPr>
        <w:tabs>
          <w:tab w:val="num" w:pos="-993"/>
          <w:tab w:val="num" w:pos="142"/>
        </w:tabs>
        <w:spacing w:after="160" w:line="259" w:lineRule="auto"/>
        <w:ind w:left="-993" w:right="226"/>
        <w:contextualSpacing/>
        <w:jc w:val="both"/>
        <w:rPr>
          <w:rFonts w:ascii="Arial" w:eastAsia="Calibri" w:hAnsi="Arial" w:cs="Arial"/>
          <w:lang w:eastAsia="en-US"/>
        </w:rPr>
      </w:pPr>
      <w:r w:rsidRPr="004C496A">
        <w:rPr>
          <w:rFonts w:ascii="Arial" w:eastAsia="Times New Roman" w:hAnsi="Arial" w:cs="Arial"/>
          <w:b/>
          <w:bCs/>
          <w:color w:val="355993"/>
        </w:rPr>
        <w:t>1ª Fase da 2ª RTP</w:t>
      </w:r>
    </w:p>
    <w:p w14:paraId="0CD89112" w14:textId="77777777" w:rsidR="001230AD" w:rsidRPr="004C496A" w:rsidRDefault="001230AD" w:rsidP="001230AD">
      <w:pPr>
        <w:tabs>
          <w:tab w:val="num" w:pos="-993"/>
        </w:tabs>
        <w:spacing w:after="160" w:line="259" w:lineRule="auto"/>
        <w:ind w:left="-993" w:right="226"/>
        <w:contextualSpacing/>
        <w:jc w:val="both"/>
        <w:rPr>
          <w:rFonts w:ascii="Arial" w:eastAsia="Calibri" w:hAnsi="Arial" w:cs="Arial"/>
          <w:lang w:eastAsia="en-US"/>
        </w:rPr>
      </w:pPr>
    </w:p>
    <w:p w14:paraId="6B42169C" w14:textId="77777777" w:rsidR="001230AD" w:rsidRPr="004C496A" w:rsidRDefault="001230AD" w:rsidP="001230AD">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Em 04/01/2021 a AGEPAR promoveu a abertura da Consulta Pública nº 001/2021, referente à 1ª fase da 2ª RTP – Revisão Tarifaria Periódica e submeteu 09 (nove) Notas Técnicas para contribuições até 17/02/2021. Em 31/03/2021, a Agência realizou a Audiência Pública nº 001/2021, para debater as Notas Técnicas já atualizadas após as contribuições da Consulta Pública. Em 14/04/2021 o Conselho Diretor da AGEPAR, na Reunião Extraordinária nº 012/2021, decidiu pela aprovação do novo reposicionamento tarifário de 5,7701%, resultado da 1ª fase da 2ª RTP. A tarifa reposicionada entrou em vigor 30 dias após sua homologação, com aplicação a partir de 17 de maio de 2021 (data-base).</w:t>
      </w:r>
    </w:p>
    <w:p w14:paraId="616A4BEA" w14:textId="77777777" w:rsidR="001230AD" w:rsidRPr="004C496A" w:rsidRDefault="001230AD" w:rsidP="001230AD">
      <w:pPr>
        <w:tabs>
          <w:tab w:val="num" w:pos="-993"/>
          <w:tab w:val="num" w:pos="142"/>
        </w:tabs>
        <w:spacing w:after="160" w:line="259" w:lineRule="auto"/>
        <w:ind w:left="-993" w:right="226"/>
        <w:contextualSpacing/>
        <w:jc w:val="both"/>
        <w:rPr>
          <w:rFonts w:ascii="Arial" w:eastAsia="Calibri" w:hAnsi="Arial" w:cs="Arial"/>
          <w:lang w:eastAsia="en-US"/>
        </w:rPr>
      </w:pPr>
    </w:p>
    <w:p w14:paraId="45EF49EB" w14:textId="77777777" w:rsidR="001230AD" w:rsidRPr="004C496A" w:rsidRDefault="001230AD" w:rsidP="001230AD">
      <w:pPr>
        <w:tabs>
          <w:tab w:val="num" w:pos="-993"/>
          <w:tab w:val="num" w:pos="142"/>
        </w:tabs>
        <w:spacing w:after="160" w:line="259" w:lineRule="auto"/>
        <w:ind w:left="-993" w:right="226"/>
        <w:contextualSpacing/>
        <w:jc w:val="both"/>
        <w:rPr>
          <w:rFonts w:ascii="Arial" w:eastAsia="Times New Roman" w:hAnsi="Arial" w:cs="Arial"/>
          <w:b/>
          <w:bCs/>
          <w:color w:val="355993"/>
        </w:rPr>
      </w:pPr>
      <w:r w:rsidRPr="004C496A">
        <w:rPr>
          <w:rFonts w:ascii="Arial" w:eastAsia="Times New Roman" w:hAnsi="Arial" w:cs="Arial"/>
          <w:b/>
          <w:bCs/>
          <w:color w:val="355993"/>
        </w:rPr>
        <w:t>Diferimento 1ª RTP</w:t>
      </w:r>
    </w:p>
    <w:p w14:paraId="07F38428" w14:textId="77777777" w:rsidR="001230AD" w:rsidRPr="004C496A" w:rsidRDefault="001230AD" w:rsidP="001230AD">
      <w:pPr>
        <w:tabs>
          <w:tab w:val="num" w:pos="-993"/>
          <w:tab w:val="num" w:pos="142"/>
        </w:tabs>
        <w:spacing w:after="160" w:line="259" w:lineRule="auto"/>
        <w:ind w:left="-993" w:right="226"/>
        <w:contextualSpacing/>
        <w:jc w:val="both"/>
        <w:rPr>
          <w:rFonts w:ascii="Arial" w:eastAsia="Calibri" w:hAnsi="Arial" w:cs="Arial"/>
          <w:lang w:eastAsia="en-US"/>
        </w:rPr>
      </w:pPr>
    </w:p>
    <w:p w14:paraId="2421A675" w14:textId="77777777" w:rsidR="001230AD" w:rsidRPr="004C496A" w:rsidRDefault="001230AD" w:rsidP="001230AD">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Ainda, na 1ª fase da 2ª RTP, a AGEPAR atualizou a regra de cálculo em relação a amortização da parcela do diferimento oriundo da 1ª RTP. No cálculo definido o saldo devedor do diferimento foi estimado a partir do saldo apurado das diferenças entre a Receita Requerida e a Receita Verificada projetado até maio/2021 e resultou no valor de R$ 1,709 bilhão, este valor foi integrado à tarifa por meio de uma parcela de compensação ao longo do ciclo tarifário (2021 – 2024) de R$ 0,459 por m³, calculada a partir da igualdade de um fluxo de caixa descontado pelo WACC regulatório. Ressalta-se que o valor será reprojetado a cada ano afim de contemplar oscilações da taxa Selic (taxa de correção do diferimento).</w:t>
      </w:r>
    </w:p>
    <w:p w14:paraId="39FBABA0" w14:textId="77777777" w:rsidR="001230AD" w:rsidRPr="004C496A" w:rsidRDefault="001230AD" w:rsidP="001230AD">
      <w:pPr>
        <w:tabs>
          <w:tab w:val="num" w:pos="-993"/>
          <w:tab w:val="num" w:pos="142"/>
        </w:tabs>
        <w:spacing w:after="160" w:line="259" w:lineRule="auto"/>
        <w:ind w:left="-993" w:right="226"/>
        <w:contextualSpacing/>
        <w:jc w:val="both"/>
        <w:rPr>
          <w:rFonts w:ascii="Arial" w:eastAsia="Calibri" w:hAnsi="Arial" w:cs="Arial"/>
          <w:lang w:eastAsia="en-US"/>
        </w:rPr>
      </w:pPr>
    </w:p>
    <w:p w14:paraId="06F3D9CB" w14:textId="77777777" w:rsidR="001230AD" w:rsidRPr="004C496A" w:rsidRDefault="001230AD" w:rsidP="001230AD">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O diferimento é oriundo da 1ª RTP da Sanepar, ocasião em que a Companhia foi autorizada pela Agência Reguladora de Serviços Públicos Delegados do Paraná (AGEPAR), por meio da Resolução Homologatória nº 003, de 12 de abril de 2017, a aplicar o índice de reposicionamento tarifário de 25,63% a partir de 17 de abril de 2017, conforme previsto no artigo 3º:</w:t>
      </w:r>
    </w:p>
    <w:p w14:paraId="53F6EADB" w14:textId="77777777" w:rsidR="001230AD" w:rsidRPr="004C496A" w:rsidRDefault="001230AD" w:rsidP="001230AD">
      <w:pPr>
        <w:tabs>
          <w:tab w:val="num" w:pos="-993"/>
          <w:tab w:val="num" w:pos="142"/>
        </w:tabs>
        <w:spacing w:after="160" w:line="259" w:lineRule="auto"/>
        <w:ind w:left="-993" w:right="226"/>
        <w:contextualSpacing/>
        <w:jc w:val="both"/>
        <w:rPr>
          <w:rFonts w:ascii="Arial" w:eastAsia="Calibri" w:hAnsi="Arial" w:cs="Arial"/>
          <w:lang w:eastAsia="en-US"/>
        </w:rPr>
      </w:pPr>
    </w:p>
    <w:p w14:paraId="429CB08B" w14:textId="77777777" w:rsidR="001230AD" w:rsidRPr="004C496A" w:rsidRDefault="001230AD" w:rsidP="001230AD">
      <w:pPr>
        <w:tabs>
          <w:tab w:val="num" w:pos="851"/>
        </w:tabs>
        <w:spacing w:after="160" w:line="259" w:lineRule="auto"/>
        <w:ind w:left="567" w:right="226"/>
        <w:contextualSpacing/>
        <w:jc w:val="both"/>
        <w:rPr>
          <w:rFonts w:ascii="Arial" w:eastAsia="Calibri" w:hAnsi="Arial" w:cs="Arial"/>
          <w:i/>
          <w:sz w:val="22"/>
          <w:szCs w:val="22"/>
          <w:lang w:eastAsia="en-US"/>
        </w:rPr>
      </w:pPr>
      <w:r w:rsidRPr="004C496A">
        <w:rPr>
          <w:rFonts w:ascii="Arial" w:eastAsia="Calibri" w:hAnsi="Arial" w:cs="Arial"/>
          <w:i/>
          <w:sz w:val="22"/>
          <w:szCs w:val="22"/>
          <w:lang w:eastAsia="en-US"/>
        </w:rPr>
        <w:t xml:space="preserve">“Art. 3º - Definir que a aplicação da revisão tarifária homologada conforme artigo 2º desta Resolução será diferida em 8 (oito) anos, sendo que a primeira parcela corresponderá, no ano de 2017, a um reposicionamento médio de 8,53% (oito virgula cinquenta e três por cento), e as demais em 7 (sete) parcelas de 2,11% (dois vírgula onze por cento), acrescidas da correspondente correção financeira e da correção econômica, a qual se dará pela aplicação </w:t>
      </w:r>
      <w:r w:rsidRPr="004C496A">
        <w:rPr>
          <w:rFonts w:ascii="Arial" w:eastAsia="Calibri" w:hAnsi="Arial" w:cs="Arial"/>
          <w:i/>
          <w:sz w:val="22"/>
          <w:szCs w:val="22"/>
          <w:lang w:eastAsia="en-US"/>
        </w:rPr>
        <w:lastRenderedPageBreak/>
        <w:t>da taxa média  ponderada  dos  financiamentos  diários apurados no Sistema  Especial  de Liquidação e Custódia (SELIC), nos termos definidos na Nota Técnica aprovada no artigo 1º desta Resolução”.</w:t>
      </w:r>
    </w:p>
    <w:p w14:paraId="102DAE4C" w14:textId="77777777" w:rsidR="001230AD" w:rsidRPr="004C496A" w:rsidRDefault="001230AD" w:rsidP="001230AD">
      <w:pPr>
        <w:tabs>
          <w:tab w:val="num" w:pos="-993"/>
          <w:tab w:val="num" w:pos="142"/>
        </w:tabs>
        <w:spacing w:after="160" w:line="259" w:lineRule="auto"/>
        <w:ind w:left="-993" w:right="226"/>
        <w:contextualSpacing/>
        <w:jc w:val="both"/>
        <w:rPr>
          <w:rFonts w:ascii="Arial" w:eastAsia="Calibri" w:hAnsi="Arial" w:cs="Arial"/>
          <w:i/>
          <w:lang w:eastAsia="en-US"/>
        </w:rPr>
      </w:pPr>
    </w:p>
    <w:p w14:paraId="43845F5E" w14:textId="77777777" w:rsidR="001230AD" w:rsidRDefault="001230AD" w:rsidP="001230AD">
      <w:pPr>
        <w:tabs>
          <w:tab w:val="num" w:pos="-993"/>
        </w:tabs>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Em relação aos registros contábeis, em analogia à Orientação Técnica OCPC 08 – Reconhecimento de Determinados Ativos e Passivos nos Relatórios Contábil-Financeiros de Propósito Geral  das Distribuidoras de Energia Elétrica emitidos de acordo com as Normas Brasileiras e Internacionais de Contabilidade, a Companhia não registra nas Demonstrações Contábeis os valores a receber decorrentes do diferimento, considerando que: (i) a realização ou exigibilidade destes valores dependeriam de evento futuro não totalmente controlável pela entidade - faturamento futuro dos serviços de água e esgoto; (ii) não é praticável saber, no momento do surgimento do direito a receber quais são os devedores destes valores; e (iii) o efetivo recebimento destes valores ocorrerá somente com a manutenção das concessões.</w:t>
      </w:r>
    </w:p>
    <w:p w14:paraId="39DA5E81" w14:textId="77777777" w:rsidR="001230AD" w:rsidRPr="004C496A" w:rsidRDefault="001230AD" w:rsidP="001230AD">
      <w:pPr>
        <w:tabs>
          <w:tab w:val="num" w:pos="-993"/>
        </w:tabs>
        <w:spacing w:after="160" w:line="259" w:lineRule="auto"/>
        <w:ind w:left="-993" w:right="226"/>
        <w:contextualSpacing/>
        <w:jc w:val="both"/>
        <w:rPr>
          <w:rFonts w:ascii="Arial" w:eastAsia="Calibri" w:hAnsi="Arial" w:cs="Arial"/>
          <w:sz w:val="22"/>
          <w:szCs w:val="22"/>
          <w:lang w:eastAsia="en-US"/>
        </w:rPr>
      </w:pPr>
    </w:p>
    <w:p w14:paraId="09685DB3" w14:textId="77777777" w:rsidR="001230AD" w:rsidRPr="004C496A" w:rsidRDefault="001230AD" w:rsidP="001230AD">
      <w:pPr>
        <w:tabs>
          <w:tab w:val="num" w:pos="-993"/>
          <w:tab w:val="num" w:pos="142"/>
        </w:tabs>
        <w:spacing w:after="160" w:line="259" w:lineRule="auto"/>
        <w:ind w:left="-993" w:right="226"/>
        <w:contextualSpacing/>
        <w:jc w:val="both"/>
        <w:rPr>
          <w:rFonts w:ascii="Arial" w:eastAsia="Times New Roman" w:hAnsi="Arial" w:cs="Arial"/>
          <w:b/>
          <w:bCs/>
          <w:color w:val="355993"/>
        </w:rPr>
      </w:pPr>
      <w:r w:rsidRPr="004C496A">
        <w:rPr>
          <w:rFonts w:ascii="Arial" w:eastAsia="Times New Roman" w:hAnsi="Arial" w:cs="Arial"/>
          <w:b/>
          <w:bCs/>
          <w:color w:val="355993"/>
        </w:rPr>
        <w:t>2ª Fase da 2ª RTP (em andamento)</w:t>
      </w:r>
    </w:p>
    <w:p w14:paraId="03DF3F8C" w14:textId="77777777" w:rsidR="001230AD" w:rsidRPr="004C496A" w:rsidRDefault="001230AD" w:rsidP="001230AD">
      <w:pPr>
        <w:tabs>
          <w:tab w:val="num" w:pos="142"/>
        </w:tabs>
        <w:spacing w:after="160" w:line="259" w:lineRule="auto"/>
        <w:ind w:left="142" w:right="226"/>
        <w:contextualSpacing/>
        <w:jc w:val="both"/>
        <w:rPr>
          <w:rFonts w:ascii="Arial" w:eastAsia="Calibri" w:hAnsi="Arial" w:cs="Arial"/>
          <w:sz w:val="22"/>
          <w:szCs w:val="22"/>
          <w:lang w:eastAsia="en-US"/>
        </w:rPr>
      </w:pPr>
    </w:p>
    <w:p w14:paraId="26959515" w14:textId="77777777" w:rsidR="001230AD" w:rsidRPr="004C496A" w:rsidRDefault="001230AD" w:rsidP="001230AD">
      <w:pPr>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 xml:space="preserve">A 2ª fase da 2ª RTP encontra-se em andamento, conforme Resolução AGEPAR nº 007 de 29/03/2022, que aborda os seguintes temas: (i) aprovação do cronograma de trabalho da 2ª Fase da 2ª RTP da Sanepar, cuja conclusão está prevista para abril de 2023; (ii) realização do reajuste das tarifas vigentes dos serviços de água e esgoto da Sanepar, na data-base de 17 de maio de 2022; (iii) estabelecimento da inclusão de eventuais compensações necessárias para a manutenção da data-base vigente, de 17 de maio, na tarifa resultante da 2ª fase 2ª RTP da Sanepar. </w:t>
      </w:r>
    </w:p>
    <w:p w14:paraId="53851B72" w14:textId="77777777" w:rsidR="001230AD" w:rsidRPr="004C496A" w:rsidRDefault="001230AD" w:rsidP="001230AD">
      <w:pPr>
        <w:spacing w:after="160" w:line="259" w:lineRule="auto"/>
        <w:ind w:left="-993" w:right="226"/>
        <w:contextualSpacing/>
        <w:jc w:val="both"/>
        <w:rPr>
          <w:rFonts w:ascii="Arial" w:eastAsia="Calibri" w:hAnsi="Arial" w:cs="Arial"/>
          <w:sz w:val="22"/>
          <w:szCs w:val="22"/>
          <w:lang w:eastAsia="en-US"/>
        </w:rPr>
      </w:pPr>
    </w:p>
    <w:p w14:paraId="347AD5EE" w14:textId="77777777" w:rsidR="001230AD" w:rsidRPr="004C496A" w:rsidRDefault="001230AD" w:rsidP="001230AD">
      <w:pPr>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Em 02/05/2022 foi homologado pela Diretoria Executiva da Sanepar o processo de contratação da empresa visando executar o serviço de levantamento da Base de Ativos Regulatória para a 2ª fase da 2ª RTP, em 09/05/2022 foi assinada a ordem de serviço</w:t>
      </w:r>
      <w:r>
        <w:rPr>
          <w:rFonts w:ascii="Arial" w:eastAsia="Calibri" w:hAnsi="Arial" w:cs="Arial"/>
          <w:lang w:eastAsia="en-US"/>
        </w:rPr>
        <w:t xml:space="preserve"> que deu início efetivo</w:t>
      </w:r>
      <w:r w:rsidRPr="004C496A">
        <w:rPr>
          <w:rFonts w:ascii="Arial" w:eastAsia="Calibri" w:hAnsi="Arial" w:cs="Arial"/>
          <w:lang w:eastAsia="en-US"/>
        </w:rPr>
        <w:t xml:space="preserve"> </w:t>
      </w:r>
      <w:r>
        <w:rPr>
          <w:rFonts w:ascii="Arial" w:eastAsia="Calibri" w:hAnsi="Arial" w:cs="Arial"/>
          <w:lang w:eastAsia="en-US"/>
        </w:rPr>
        <w:t>a</w:t>
      </w:r>
      <w:r w:rsidRPr="004C496A">
        <w:rPr>
          <w:rFonts w:ascii="Arial" w:eastAsia="Calibri" w:hAnsi="Arial" w:cs="Arial"/>
          <w:lang w:eastAsia="en-US"/>
        </w:rPr>
        <w:t>os trabalhos. O serviço contratado compreende o levantamento, avaliação e conciliação da base incremental e a movimentação da base de ativos da 1ª RTP.  A empresa vencedora do processo licitatório é a SETAPE Serviços Técnicos de Avaliações do Patrimônio e Engenharia Ltda.</w:t>
      </w:r>
    </w:p>
    <w:p w14:paraId="676DEC6B" w14:textId="77777777" w:rsidR="001230AD" w:rsidRPr="004C496A" w:rsidRDefault="001230AD" w:rsidP="001230AD">
      <w:pPr>
        <w:spacing w:after="160" w:line="259" w:lineRule="auto"/>
        <w:ind w:right="226"/>
        <w:contextualSpacing/>
        <w:jc w:val="both"/>
        <w:rPr>
          <w:rFonts w:ascii="Arial" w:eastAsia="Calibri" w:hAnsi="Arial" w:cs="Arial"/>
          <w:sz w:val="22"/>
          <w:szCs w:val="22"/>
          <w:lang w:eastAsia="en-US"/>
        </w:rPr>
      </w:pPr>
    </w:p>
    <w:p w14:paraId="7F13A05B" w14:textId="77777777" w:rsidR="001230AD" w:rsidRPr="001B6C9E" w:rsidRDefault="001230AD" w:rsidP="001230AD">
      <w:pPr>
        <w:spacing w:after="160" w:line="259" w:lineRule="auto"/>
        <w:ind w:left="-993" w:right="226"/>
        <w:contextualSpacing/>
        <w:jc w:val="both"/>
        <w:rPr>
          <w:rFonts w:ascii="Arial" w:eastAsia="Calibri" w:hAnsi="Arial" w:cs="Arial"/>
          <w:lang w:eastAsia="en-US"/>
        </w:rPr>
      </w:pPr>
      <w:r w:rsidRPr="004C496A">
        <w:rPr>
          <w:rFonts w:ascii="Arial" w:eastAsia="Calibri" w:hAnsi="Arial" w:cs="Arial"/>
          <w:lang w:eastAsia="en-US"/>
        </w:rPr>
        <w:t>Em 28/06/2022 o Conselho Diretor da AGEPAR deliberou, na Reunião Ordinária nº 21/2022, pela abertura da Consulta Pública nº 003/2022, destinada a obter contribuições, sugestões, propostas, críticas e demais manifestações pertinentes, por quaisquer interessados, a respeito dos temas relacionados à 2ª RTP apresentados nas Notas Técnicas números:  1/2022 – Metodologia de Fator X – Com</w:t>
      </w:r>
      <w:r w:rsidRPr="001B6C9E">
        <w:rPr>
          <w:rFonts w:ascii="Arial" w:eastAsia="Calibri" w:hAnsi="Arial" w:cs="Arial"/>
          <w:lang w:eastAsia="en-US"/>
        </w:rPr>
        <w:t>partilhamento de ganhos de produtividade; 3/2022 – Metodologia de Fator Q: Fator de Qualidade;  4/2022 – Perdas de Água Tratada e 5/2022 – Matriz de Riscos. Em 28/07/2022 a Sanepar apresentou suas contribuições sobre os temas colocados em consulta pública.</w:t>
      </w:r>
    </w:p>
    <w:p w14:paraId="2EFBBAF2" w14:textId="77777777" w:rsidR="001230AD" w:rsidRPr="001B6C9E" w:rsidRDefault="001230AD" w:rsidP="001230AD">
      <w:pPr>
        <w:spacing w:after="160" w:line="259" w:lineRule="auto"/>
        <w:ind w:left="-993" w:right="226"/>
        <w:contextualSpacing/>
        <w:jc w:val="both"/>
        <w:rPr>
          <w:rFonts w:ascii="Arial" w:eastAsia="Calibri" w:hAnsi="Arial" w:cs="Arial"/>
          <w:lang w:eastAsia="en-US"/>
        </w:rPr>
      </w:pPr>
    </w:p>
    <w:p w14:paraId="0A3FA15F" w14:textId="77777777" w:rsidR="001230AD" w:rsidRPr="001B6C9E" w:rsidRDefault="001230AD" w:rsidP="001230AD">
      <w:pPr>
        <w:spacing w:after="160" w:line="259" w:lineRule="auto"/>
        <w:ind w:left="-993" w:right="226"/>
        <w:contextualSpacing/>
        <w:jc w:val="both"/>
        <w:rPr>
          <w:rFonts w:ascii="Arial" w:eastAsia="Calibri" w:hAnsi="Arial" w:cs="Arial"/>
          <w:lang w:eastAsia="en-US"/>
        </w:rPr>
      </w:pPr>
      <w:r w:rsidRPr="001B6C9E">
        <w:rPr>
          <w:rFonts w:ascii="Arial" w:eastAsia="Calibri" w:hAnsi="Arial" w:cs="Arial"/>
          <w:lang w:eastAsia="en-US"/>
        </w:rPr>
        <w:t>Em 11/10/2022 o Conselho Diretor da AGEPAR deliberou, na Reunião Ordinária nº 29/2022, pela abertura da Consulta Pública nº 007/2022 - Temática nº 2 da 2ª Fase da 2ª RTP da SANEPAR, notas técnicas números: 2/2022 - Custos Operacionais Eficientes, 7/2022 - Receitas Irrecuperáveis, 8/2022 - Projeções de Mercado, 9/2022 - Outras Receitas, e 10/2022 - Avaliação do Plano de Investimentos, destinada a obter contribuições, sugestões, propostas, críticas e demais manifestações pertinentes, por quaisquer interessados. Em 17/11/2022 a Sanepar apresentou suas contribuições sobre os temas colocados em consulta pública.</w:t>
      </w:r>
    </w:p>
    <w:p w14:paraId="461E699E" w14:textId="2C205DBC" w:rsidR="001230AD" w:rsidRDefault="001230AD" w:rsidP="001230AD">
      <w:pPr>
        <w:spacing w:after="160" w:line="259" w:lineRule="auto"/>
        <w:ind w:left="-993" w:right="226"/>
        <w:contextualSpacing/>
        <w:jc w:val="both"/>
        <w:rPr>
          <w:rFonts w:ascii="Arial" w:eastAsia="Calibri" w:hAnsi="Arial" w:cs="Arial"/>
          <w:lang w:eastAsia="en-US"/>
        </w:rPr>
      </w:pPr>
    </w:p>
    <w:p w14:paraId="70B8CBFC" w14:textId="77777777" w:rsidR="001B6C9E" w:rsidRPr="001B6C9E" w:rsidRDefault="001B6C9E" w:rsidP="001230AD">
      <w:pPr>
        <w:spacing w:after="160" w:line="259" w:lineRule="auto"/>
        <w:ind w:left="-993" w:right="226"/>
        <w:contextualSpacing/>
        <w:jc w:val="both"/>
        <w:rPr>
          <w:rFonts w:ascii="Arial" w:eastAsia="Calibri" w:hAnsi="Arial" w:cs="Arial"/>
          <w:lang w:eastAsia="en-US"/>
        </w:rPr>
      </w:pPr>
    </w:p>
    <w:p w14:paraId="17C69D68" w14:textId="77777777" w:rsidR="001230AD" w:rsidRPr="001B6C9E" w:rsidRDefault="001230AD" w:rsidP="001230AD">
      <w:pPr>
        <w:spacing w:after="160" w:line="259" w:lineRule="auto"/>
        <w:ind w:left="-993" w:right="226"/>
        <w:contextualSpacing/>
        <w:jc w:val="both"/>
        <w:rPr>
          <w:rFonts w:ascii="Arial" w:eastAsia="Calibri" w:hAnsi="Arial" w:cs="Arial"/>
          <w:lang w:eastAsia="en-US"/>
        </w:rPr>
      </w:pPr>
      <w:r w:rsidRPr="001B6C9E">
        <w:rPr>
          <w:rFonts w:ascii="Arial" w:eastAsia="Calibri" w:hAnsi="Arial" w:cs="Arial"/>
          <w:lang w:eastAsia="en-US"/>
        </w:rPr>
        <w:lastRenderedPageBreak/>
        <w:t>No início de outubro de 2022, a empresa SETAPE, após levantamento, conciliação e avaliação dos ativos da Sanepar, entregou o laudo contendo a avaliação da base incremental do período de 2016 – 2020 e a movimentação da base de ativos da 1ª RTP, o qual foi encaminhado à AGEPAR em 21/10/2022.</w:t>
      </w:r>
    </w:p>
    <w:p w14:paraId="39914B70" w14:textId="77777777" w:rsidR="001230AD" w:rsidRPr="001B6C9E" w:rsidRDefault="001230AD" w:rsidP="001230AD">
      <w:pPr>
        <w:spacing w:after="160" w:line="259" w:lineRule="auto"/>
        <w:ind w:left="-993" w:right="226"/>
        <w:contextualSpacing/>
        <w:jc w:val="both"/>
        <w:rPr>
          <w:rFonts w:ascii="Arial" w:eastAsia="Calibri" w:hAnsi="Arial" w:cs="Arial"/>
          <w:lang w:eastAsia="en-US"/>
        </w:rPr>
      </w:pPr>
    </w:p>
    <w:p w14:paraId="1607EB6C" w14:textId="77777777" w:rsidR="001230AD" w:rsidRPr="004C496A" w:rsidRDefault="001230AD" w:rsidP="001230AD">
      <w:pPr>
        <w:spacing w:after="160" w:line="259" w:lineRule="auto"/>
        <w:ind w:left="-993" w:right="226"/>
        <w:contextualSpacing/>
        <w:jc w:val="both"/>
        <w:rPr>
          <w:rFonts w:ascii="Arial" w:eastAsia="Calibri" w:hAnsi="Arial" w:cs="Arial"/>
          <w:lang w:eastAsia="en-US"/>
        </w:rPr>
      </w:pPr>
      <w:r w:rsidRPr="001B6C9E">
        <w:rPr>
          <w:rFonts w:ascii="Arial" w:eastAsia="Calibri" w:hAnsi="Arial" w:cs="Arial"/>
          <w:lang w:eastAsia="en-US"/>
        </w:rPr>
        <w:t xml:space="preserve">A AGEPAR em 16/12/2022 realizou a disputa de 4 (quatro) lotes do processo licitatório para contratação de consultoria cujo objeto refere-se ao apoio na inspeção do laudo de avaliação da base de ativos incremental apresentado pela Sanepar. </w:t>
      </w:r>
    </w:p>
    <w:p w14:paraId="61B13930" w14:textId="2FD8ADC9" w:rsidR="00AB0B51" w:rsidRDefault="00AB0B51" w:rsidP="00AB0B51">
      <w:pPr>
        <w:tabs>
          <w:tab w:val="num" w:pos="-993"/>
          <w:tab w:val="num" w:pos="142"/>
        </w:tabs>
        <w:spacing w:after="160" w:line="259" w:lineRule="auto"/>
        <w:ind w:left="-993" w:right="226"/>
        <w:contextualSpacing/>
        <w:jc w:val="both"/>
        <w:rPr>
          <w:rFonts w:ascii="Arial" w:eastAsia="Calibri" w:hAnsi="Arial" w:cs="Arial"/>
          <w:highlight w:val="yellow"/>
          <w:lang w:eastAsia="en-US"/>
        </w:rPr>
      </w:pPr>
    </w:p>
    <w:p w14:paraId="74678E21" w14:textId="77777777" w:rsidR="00D65412" w:rsidRPr="00676D2D" w:rsidRDefault="00D65412" w:rsidP="00D65412">
      <w:pPr>
        <w:tabs>
          <w:tab w:val="num" w:pos="-993"/>
          <w:tab w:val="num" w:pos="142"/>
        </w:tabs>
        <w:spacing w:after="160" w:line="259" w:lineRule="auto"/>
        <w:ind w:left="-993" w:right="226"/>
        <w:contextualSpacing/>
        <w:jc w:val="both"/>
        <w:rPr>
          <w:rFonts w:ascii="Arial" w:eastAsia="Times New Roman" w:hAnsi="Arial" w:cs="Arial"/>
          <w:b/>
          <w:bCs/>
          <w:color w:val="355993"/>
        </w:rPr>
      </w:pPr>
      <w:r w:rsidRPr="00676D2D">
        <w:rPr>
          <w:rFonts w:ascii="Arial" w:eastAsia="Times New Roman" w:hAnsi="Arial" w:cs="Arial"/>
          <w:b/>
          <w:bCs/>
          <w:color w:val="355993"/>
        </w:rPr>
        <w:t>Reajuste Tarifário 2022</w:t>
      </w:r>
    </w:p>
    <w:p w14:paraId="43C47682" w14:textId="77777777" w:rsidR="00D65412" w:rsidRPr="00676D2D" w:rsidRDefault="00D65412" w:rsidP="00D65412">
      <w:pPr>
        <w:tabs>
          <w:tab w:val="num" w:pos="-993"/>
          <w:tab w:val="num" w:pos="142"/>
        </w:tabs>
        <w:spacing w:after="160" w:line="259" w:lineRule="auto"/>
        <w:ind w:left="-993" w:right="226"/>
        <w:contextualSpacing/>
        <w:jc w:val="both"/>
        <w:rPr>
          <w:rFonts w:ascii="Arial" w:eastAsia="Times New Roman" w:hAnsi="Arial" w:cs="Arial"/>
          <w:b/>
          <w:bCs/>
          <w:color w:val="355993"/>
          <w:sz w:val="20"/>
          <w:szCs w:val="20"/>
        </w:rPr>
      </w:pPr>
    </w:p>
    <w:p w14:paraId="63033011" w14:textId="77777777" w:rsidR="00D65412" w:rsidRPr="00676D2D" w:rsidRDefault="00D65412" w:rsidP="00D65412">
      <w:pPr>
        <w:tabs>
          <w:tab w:val="num" w:pos="-993"/>
          <w:tab w:val="num" w:pos="142"/>
        </w:tabs>
        <w:spacing w:after="160" w:line="259" w:lineRule="auto"/>
        <w:ind w:left="-993" w:right="226"/>
        <w:contextualSpacing/>
        <w:jc w:val="both"/>
        <w:rPr>
          <w:rFonts w:ascii="Arial" w:eastAsia="Calibri" w:hAnsi="Arial" w:cs="Arial"/>
          <w:lang w:eastAsia="en-US"/>
        </w:rPr>
      </w:pPr>
      <w:r w:rsidRPr="00676D2D">
        <w:rPr>
          <w:rFonts w:ascii="Arial" w:eastAsia="Calibri" w:hAnsi="Arial" w:cs="Arial"/>
          <w:lang w:eastAsia="en-US"/>
        </w:rPr>
        <w:t>Considerando a necessidade de manutenção do poder de compra da tarifa e a manutenção da data-base de reajuste da tarifa em maio/2022, em 23/02/2022 a Companhia aprovou o encaminhamento da proposta de reajuste tarifário referente ao ano de 2022 para AGEPAR.</w:t>
      </w:r>
    </w:p>
    <w:p w14:paraId="0C57EA06" w14:textId="77777777" w:rsidR="00D65412" w:rsidRPr="00676D2D" w:rsidRDefault="00D65412" w:rsidP="00D65412">
      <w:pPr>
        <w:tabs>
          <w:tab w:val="num" w:pos="-993"/>
          <w:tab w:val="num" w:pos="142"/>
        </w:tabs>
        <w:spacing w:after="160" w:line="259" w:lineRule="auto"/>
        <w:ind w:left="-993" w:right="226"/>
        <w:contextualSpacing/>
        <w:jc w:val="both"/>
        <w:rPr>
          <w:rFonts w:ascii="Arial" w:eastAsia="Calibri" w:hAnsi="Arial" w:cs="Arial"/>
          <w:sz w:val="20"/>
          <w:szCs w:val="20"/>
          <w:lang w:eastAsia="en-US"/>
        </w:rPr>
      </w:pPr>
    </w:p>
    <w:p w14:paraId="23B9A699" w14:textId="38FB2FD1" w:rsidR="00D65412" w:rsidRDefault="00D65412" w:rsidP="00D65412">
      <w:pPr>
        <w:tabs>
          <w:tab w:val="num" w:pos="-993"/>
          <w:tab w:val="num" w:pos="142"/>
        </w:tabs>
        <w:spacing w:after="160" w:line="259" w:lineRule="auto"/>
        <w:ind w:left="-993" w:right="226"/>
        <w:contextualSpacing/>
        <w:jc w:val="both"/>
        <w:rPr>
          <w:rFonts w:ascii="Arial" w:eastAsia="Calibri" w:hAnsi="Arial" w:cs="Arial"/>
          <w:lang w:eastAsia="en-US"/>
        </w:rPr>
      </w:pPr>
      <w:r w:rsidRPr="00676D2D">
        <w:rPr>
          <w:rFonts w:ascii="Arial" w:eastAsia="Calibri" w:hAnsi="Arial" w:cs="Arial"/>
          <w:lang w:eastAsia="en-US"/>
        </w:rPr>
        <w:t>Em 13/04/2022, na Reunião Extraordinária nº 013/2022, o Conselho Diretor da AGEPAR decidiu pela aplicação parcial do pedido de reajuste, sendo o índice de reajuste a ser aplicado em 2022 de 4,963%, decorrente da atualização da Parcela A (custos não gerenciáveis), Parcela F (CVA 2021) e Parcela de Compensações, oriundas da 1ª fase da 2ª RTP, ficando suspensa a atualização da Parcela B até o final do procedimento da RTP. A Agência indicou que a diferença entre o valor homologado e o valor aplicado deverá ser compensada na Parcela de Compensações ao final da 2ª etapa da 2ª RTP.</w:t>
      </w:r>
    </w:p>
    <w:p w14:paraId="1766437D" w14:textId="77777777" w:rsidR="00D65412" w:rsidRPr="00676D2D" w:rsidRDefault="00D65412" w:rsidP="00D65412">
      <w:pPr>
        <w:tabs>
          <w:tab w:val="num" w:pos="-993"/>
          <w:tab w:val="num" w:pos="142"/>
        </w:tabs>
        <w:spacing w:after="160" w:line="259" w:lineRule="auto"/>
        <w:ind w:left="-993" w:right="226"/>
        <w:contextualSpacing/>
        <w:jc w:val="both"/>
        <w:rPr>
          <w:rFonts w:ascii="Arial" w:eastAsia="Calibri" w:hAnsi="Arial" w:cs="Arial"/>
          <w:sz w:val="10"/>
          <w:szCs w:val="10"/>
          <w:lang w:eastAsia="en-US"/>
        </w:rPr>
      </w:pPr>
    </w:p>
    <w:p w14:paraId="66EBC97E" w14:textId="77777777" w:rsidR="00AB0B51" w:rsidRPr="000C066D" w:rsidRDefault="00AB0B51" w:rsidP="00AB0B51">
      <w:pPr>
        <w:pStyle w:val="Cabealho"/>
        <w:numPr>
          <w:ilvl w:val="0"/>
          <w:numId w:val="9"/>
        </w:numPr>
        <w:tabs>
          <w:tab w:val="clear" w:pos="4419"/>
          <w:tab w:val="clear" w:pos="8838"/>
          <w:tab w:val="num" w:pos="-993"/>
        </w:tabs>
        <w:ind w:left="-993" w:right="226" w:firstLine="0"/>
        <w:rPr>
          <w:rFonts w:ascii="Arial" w:eastAsia="Calibri" w:hAnsi="Arial" w:cs="Arial"/>
          <w:color w:val="355993"/>
          <w:lang w:eastAsia="en-US"/>
        </w:rPr>
      </w:pPr>
      <w:r w:rsidRPr="000C066D">
        <w:rPr>
          <w:rFonts w:ascii="Arial" w:eastAsia="Times New Roman" w:hAnsi="Arial" w:cs="Arial"/>
          <w:b/>
          <w:bCs/>
          <w:color w:val="355993"/>
        </w:rPr>
        <w:t>AGENDA ASG – AMBIENTAL, SOCIAL E GOVERNANÇA</w:t>
      </w:r>
    </w:p>
    <w:p w14:paraId="7E9DC58E" w14:textId="77777777" w:rsidR="00AB0B51" w:rsidRPr="00AB0B51" w:rsidRDefault="00AB0B51" w:rsidP="00AB0B51">
      <w:pPr>
        <w:pStyle w:val="Cabealho"/>
        <w:tabs>
          <w:tab w:val="clear" w:pos="4419"/>
          <w:tab w:val="clear" w:pos="8838"/>
        </w:tabs>
        <w:ind w:left="-993" w:right="226"/>
        <w:rPr>
          <w:rFonts w:ascii="Arial" w:eastAsia="Times New Roman" w:hAnsi="Arial" w:cs="Arial"/>
          <w:b/>
          <w:bCs/>
          <w:color w:val="355993"/>
          <w:highlight w:val="yellow"/>
        </w:rPr>
      </w:pPr>
    </w:p>
    <w:p w14:paraId="1BADF937" w14:textId="06310C1F" w:rsidR="000C066D" w:rsidRPr="000C066D" w:rsidRDefault="000C066D" w:rsidP="000C066D">
      <w:pPr>
        <w:tabs>
          <w:tab w:val="num" w:pos="-993"/>
        </w:tabs>
        <w:spacing w:after="160" w:line="259" w:lineRule="auto"/>
        <w:ind w:left="-993" w:right="226"/>
        <w:contextualSpacing/>
        <w:jc w:val="both"/>
        <w:rPr>
          <w:rFonts w:ascii="Arial" w:eastAsia="Calibri" w:hAnsi="Arial" w:cs="Arial"/>
          <w:lang w:eastAsia="en-US"/>
        </w:rPr>
      </w:pPr>
      <w:r w:rsidRPr="000C066D">
        <w:rPr>
          <w:rFonts w:ascii="Arial" w:eastAsia="Calibri" w:hAnsi="Arial" w:cs="Arial"/>
          <w:lang w:eastAsia="en-US"/>
        </w:rPr>
        <w:t>Em 2021, a Companhia criou os comitês ASG, estratégico e executivo, com a finalidade de assessorar o Conselho de Administração no desenvolvimento e implementação da estratégia de ASG, que inclui as diretrizes e atos corporativos na gestão de questões relacionadas ao tema.</w:t>
      </w:r>
    </w:p>
    <w:p w14:paraId="7C3E852C" w14:textId="77777777" w:rsidR="000C066D" w:rsidRPr="000C066D" w:rsidRDefault="000C066D" w:rsidP="000C066D">
      <w:pPr>
        <w:tabs>
          <w:tab w:val="num" w:pos="-993"/>
        </w:tabs>
        <w:spacing w:after="160" w:line="259" w:lineRule="auto"/>
        <w:ind w:left="-993" w:right="226"/>
        <w:contextualSpacing/>
        <w:jc w:val="both"/>
        <w:rPr>
          <w:rFonts w:ascii="Arial" w:eastAsia="Calibri" w:hAnsi="Arial" w:cs="Arial"/>
          <w:lang w:eastAsia="en-US"/>
        </w:rPr>
      </w:pPr>
    </w:p>
    <w:p w14:paraId="0587F328" w14:textId="77777777" w:rsidR="000C066D" w:rsidRPr="000C066D" w:rsidRDefault="000C066D" w:rsidP="000C066D">
      <w:pPr>
        <w:tabs>
          <w:tab w:val="num" w:pos="-993"/>
        </w:tabs>
        <w:spacing w:after="160" w:line="259" w:lineRule="auto"/>
        <w:ind w:left="-993" w:right="226"/>
        <w:contextualSpacing/>
        <w:jc w:val="both"/>
        <w:rPr>
          <w:rFonts w:ascii="Arial" w:eastAsia="Calibri" w:hAnsi="Arial" w:cs="Arial"/>
          <w:lang w:eastAsia="en-US"/>
        </w:rPr>
      </w:pPr>
      <w:r w:rsidRPr="000C066D">
        <w:rPr>
          <w:rFonts w:ascii="Arial" w:eastAsia="Calibri" w:hAnsi="Arial" w:cs="Arial"/>
          <w:lang w:eastAsia="en-US"/>
        </w:rPr>
        <w:t>Em setembro de 2022, a Companhia concluiu o processo de materialidade - Ciclo 2022. O processo visa identificar os temas que mais impactam a capacidade da Companhia em gerar valor, considerando a visão das partes interessadas para priorização de temas a serem trabalhados e relatados com foco nos três elementos ASG. A Companhia realiza o processo bienalmente, bem como o revisa no ano subsequente, garantindo a pertinência e atualidade dos temas, considerando o contexto global e setorial.</w:t>
      </w:r>
    </w:p>
    <w:p w14:paraId="4B87F6E9" w14:textId="77777777" w:rsidR="000C066D" w:rsidRPr="000C066D" w:rsidRDefault="000C066D" w:rsidP="000C066D">
      <w:pPr>
        <w:tabs>
          <w:tab w:val="num" w:pos="-993"/>
        </w:tabs>
        <w:spacing w:after="160" w:line="259" w:lineRule="auto"/>
        <w:ind w:left="-993" w:right="226"/>
        <w:contextualSpacing/>
        <w:jc w:val="both"/>
        <w:rPr>
          <w:rFonts w:ascii="Arial" w:eastAsia="Calibri" w:hAnsi="Arial" w:cs="Arial"/>
          <w:lang w:eastAsia="en-US"/>
        </w:rPr>
      </w:pPr>
    </w:p>
    <w:p w14:paraId="5D842829" w14:textId="3A181705" w:rsidR="005A35C9" w:rsidRPr="000C066D" w:rsidRDefault="000C066D" w:rsidP="000C066D">
      <w:pPr>
        <w:tabs>
          <w:tab w:val="num" w:pos="-993"/>
        </w:tabs>
        <w:spacing w:after="160" w:line="259" w:lineRule="auto"/>
        <w:ind w:left="-993" w:right="226"/>
        <w:contextualSpacing/>
        <w:jc w:val="both"/>
        <w:rPr>
          <w:rFonts w:ascii="Arial" w:eastAsia="Calibri" w:hAnsi="Arial" w:cs="Arial"/>
          <w:lang w:eastAsia="en-US"/>
        </w:rPr>
      </w:pPr>
      <w:r w:rsidRPr="000C066D">
        <w:rPr>
          <w:rFonts w:ascii="Arial" w:eastAsia="Calibri" w:hAnsi="Arial" w:cs="Arial"/>
          <w:lang w:eastAsia="en-US"/>
        </w:rPr>
        <w:t>Validando todo o empenho da Companhia na implementação e aculturamento da agenda ASG, em dezembro de 2022 a Sanepar foi incluída na carteira ASG da B3 – o ISE B3 2023.</w:t>
      </w:r>
    </w:p>
    <w:sectPr w:rsidR="005A35C9" w:rsidRPr="000C066D" w:rsidSect="004946F5">
      <w:footerReference w:type="default" r:id="rId56"/>
      <w:pgSz w:w="11906" w:h="16838" w:code="9"/>
      <w:pgMar w:top="-1418" w:right="340" w:bottom="54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A00DE" w14:textId="77777777" w:rsidR="00550BA0" w:rsidRDefault="00550BA0">
      <w:pPr>
        <w:rPr>
          <w:rFonts w:cs="Times New Roman"/>
        </w:rPr>
      </w:pPr>
      <w:r>
        <w:rPr>
          <w:rFonts w:cs="Times New Roman"/>
        </w:rPr>
        <w:separator/>
      </w:r>
    </w:p>
  </w:endnote>
  <w:endnote w:type="continuationSeparator" w:id="0">
    <w:p w14:paraId="6AB05A31" w14:textId="77777777" w:rsidR="00550BA0" w:rsidRDefault="00550BA0">
      <w:pPr>
        <w:rPr>
          <w:rFonts w:cs="Times New Roman"/>
        </w:rPr>
      </w:pPr>
      <w:r>
        <w:rPr>
          <w:rFonts w:cs="Times New Roman"/>
        </w:rPr>
        <w:continuationSeparator/>
      </w:r>
    </w:p>
  </w:endnote>
  <w:endnote w:type="continuationNotice" w:id="1">
    <w:p w14:paraId="12D140E4" w14:textId="77777777" w:rsidR="00550BA0" w:rsidRDefault="0055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4F80" w14:textId="601BC69F" w:rsidR="00F97929" w:rsidRPr="00075757" w:rsidRDefault="00F97929">
    <w:pPr>
      <w:pStyle w:val="Rodap"/>
      <w:jc w:val="right"/>
      <w:rPr>
        <w:sz w:val="20"/>
      </w:rPr>
    </w:pPr>
  </w:p>
  <w:p w14:paraId="216AA6D2" w14:textId="77777777" w:rsidR="00270BA5" w:rsidRDefault="00270BA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AF1CF" w14:textId="77777777" w:rsidR="00550BA0" w:rsidRDefault="00550BA0">
      <w:pPr>
        <w:rPr>
          <w:rFonts w:cs="Times New Roman"/>
        </w:rPr>
      </w:pPr>
      <w:r>
        <w:rPr>
          <w:rFonts w:cs="Times New Roman"/>
        </w:rPr>
        <w:separator/>
      </w:r>
    </w:p>
  </w:footnote>
  <w:footnote w:type="continuationSeparator" w:id="0">
    <w:p w14:paraId="08781D58" w14:textId="77777777" w:rsidR="00550BA0" w:rsidRDefault="00550BA0">
      <w:pPr>
        <w:rPr>
          <w:rFonts w:cs="Times New Roman"/>
        </w:rPr>
      </w:pPr>
      <w:r>
        <w:rPr>
          <w:rFonts w:cs="Times New Roman"/>
        </w:rPr>
        <w:continuationSeparator/>
      </w:r>
    </w:p>
  </w:footnote>
  <w:footnote w:type="continuationNotice" w:id="1">
    <w:p w14:paraId="43B54EA7" w14:textId="77777777" w:rsidR="00550BA0" w:rsidRDefault="00550BA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040"/>
    <w:multiLevelType w:val="multilevel"/>
    <w:tmpl w:val="6700EE74"/>
    <w:lvl w:ilvl="0">
      <w:start w:val="1"/>
      <w:numFmt w:val="decimal"/>
      <w:lvlText w:val="%1."/>
      <w:lvlJc w:val="left"/>
      <w:pPr>
        <w:ind w:left="496" w:hanging="360"/>
      </w:pPr>
      <w:rPr>
        <w:rFonts w:hint="default"/>
      </w:rPr>
    </w:lvl>
    <w:lvl w:ilvl="1">
      <w:start w:val="1"/>
      <w:numFmt w:val="decimal"/>
      <w:lvlText w:val="%1.%2."/>
      <w:lvlJc w:val="left"/>
      <w:pPr>
        <w:ind w:left="928" w:hanging="432"/>
      </w:pPr>
      <w:rPr>
        <w:rFonts w:hint="default"/>
      </w:rPr>
    </w:lvl>
    <w:lvl w:ilvl="2">
      <w:start w:val="1"/>
      <w:numFmt w:val="decimal"/>
      <w:lvlText w:val="%1.%2.%3."/>
      <w:lvlJc w:val="left"/>
      <w:pPr>
        <w:ind w:left="1360" w:hanging="504"/>
      </w:pPr>
      <w:rPr>
        <w:rFonts w:hint="default"/>
      </w:rPr>
    </w:lvl>
    <w:lvl w:ilvl="3">
      <w:start w:val="1"/>
      <w:numFmt w:val="decimal"/>
      <w:lvlText w:val="%1.%2.%3.%4."/>
      <w:lvlJc w:val="left"/>
      <w:pPr>
        <w:ind w:left="1864" w:hanging="648"/>
      </w:pPr>
      <w:rPr>
        <w:rFonts w:hint="default"/>
      </w:rPr>
    </w:lvl>
    <w:lvl w:ilvl="4">
      <w:start w:val="1"/>
      <w:numFmt w:val="decimal"/>
      <w:lvlText w:val="%1.%2.%3.%4.%5."/>
      <w:lvlJc w:val="left"/>
      <w:pPr>
        <w:ind w:left="2368" w:hanging="792"/>
      </w:pPr>
      <w:rPr>
        <w:rFonts w:hint="default"/>
      </w:rPr>
    </w:lvl>
    <w:lvl w:ilvl="5">
      <w:start w:val="1"/>
      <w:numFmt w:val="decimal"/>
      <w:lvlText w:val="%1.%2.%3.%4.%5.%6."/>
      <w:lvlJc w:val="left"/>
      <w:pPr>
        <w:ind w:left="2872" w:hanging="936"/>
      </w:pPr>
      <w:rPr>
        <w:rFonts w:hint="default"/>
      </w:rPr>
    </w:lvl>
    <w:lvl w:ilvl="6">
      <w:start w:val="1"/>
      <w:numFmt w:val="decimal"/>
      <w:lvlText w:val="%1.%2.%3.%4.%5.%6.%7."/>
      <w:lvlJc w:val="left"/>
      <w:pPr>
        <w:ind w:left="3376" w:hanging="1080"/>
      </w:pPr>
      <w:rPr>
        <w:rFonts w:hint="default"/>
      </w:rPr>
    </w:lvl>
    <w:lvl w:ilvl="7">
      <w:start w:val="1"/>
      <w:numFmt w:val="decimal"/>
      <w:lvlText w:val="%1.%2.%3.%4.%5.%6.%7.%8."/>
      <w:lvlJc w:val="left"/>
      <w:pPr>
        <w:ind w:left="3880" w:hanging="1224"/>
      </w:pPr>
      <w:rPr>
        <w:rFonts w:hint="default"/>
      </w:rPr>
    </w:lvl>
    <w:lvl w:ilvl="8">
      <w:start w:val="1"/>
      <w:numFmt w:val="decimal"/>
      <w:lvlText w:val="%1.%2.%3.%4.%5.%6.%7.%8.%9."/>
      <w:lvlJc w:val="left"/>
      <w:pPr>
        <w:ind w:left="4456" w:hanging="1440"/>
      </w:pPr>
      <w:rPr>
        <w:rFonts w:hint="default"/>
      </w:rPr>
    </w:lvl>
  </w:abstractNum>
  <w:abstractNum w:abstractNumId="1" w15:restartNumberingAfterBreak="0">
    <w:nsid w:val="02ED683B"/>
    <w:multiLevelType w:val="multilevel"/>
    <w:tmpl w:val="CC8CC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0424FD"/>
    <w:multiLevelType w:val="hybridMultilevel"/>
    <w:tmpl w:val="0066A5F6"/>
    <w:lvl w:ilvl="0" w:tplc="25B057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5F0D0A"/>
    <w:multiLevelType w:val="hybridMultilevel"/>
    <w:tmpl w:val="F16C5F1E"/>
    <w:lvl w:ilvl="0" w:tplc="5AFCE7BE">
      <w:start w:val="1"/>
      <w:numFmt w:val="bullet"/>
      <w:lvlText w:val=""/>
      <w:lvlJc w:val="left"/>
      <w:pPr>
        <w:ind w:left="-491" w:hanging="360"/>
      </w:pPr>
      <w:rPr>
        <w:rFonts w:ascii="Symbol" w:eastAsia="Calibri" w:hAnsi="Symbol" w:cs="Arial" w:hint="default"/>
      </w:rPr>
    </w:lvl>
    <w:lvl w:ilvl="1" w:tplc="04160003" w:tentative="1">
      <w:start w:val="1"/>
      <w:numFmt w:val="bullet"/>
      <w:lvlText w:val="o"/>
      <w:lvlJc w:val="left"/>
      <w:pPr>
        <w:ind w:left="229" w:hanging="360"/>
      </w:pPr>
      <w:rPr>
        <w:rFonts w:ascii="Courier New" w:hAnsi="Courier New" w:cs="Courier New" w:hint="default"/>
      </w:rPr>
    </w:lvl>
    <w:lvl w:ilvl="2" w:tplc="04160005" w:tentative="1">
      <w:start w:val="1"/>
      <w:numFmt w:val="bullet"/>
      <w:lvlText w:val=""/>
      <w:lvlJc w:val="left"/>
      <w:pPr>
        <w:ind w:left="949" w:hanging="360"/>
      </w:pPr>
      <w:rPr>
        <w:rFonts w:ascii="Wingdings" w:hAnsi="Wingdings" w:hint="default"/>
      </w:rPr>
    </w:lvl>
    <w:lvl w:ilvl="3" w:tplc="04160001" w:tentative="1">
      <w:start w:val="1"/>
      <w:numFmt w:val="bullet"/>
      <w:lvlText w:val=""/>
      <w:lvlJc w:val="left"/>
      <w:pPr>
        <w:ind w:left="1669" w:hanging="360"/>
      </w:pPr>
      <w:rPr>
        <w:rFonts w:ascii="Symbol" w:hAnsi="Symbol" w:hint="default"/>
      </w:rPr>
    </w:lvl>
    <w:lvl w:ilvl="4" w:tplc="04160003" w:tentative="1">
      <w:start w:val="1"/>
      <w:numFmt w:val="bullet"/>
      <w:lvlText w:val="o"/>
      <w:lvlJc w:val="left"/>
      <w:pPr>
        <w:ind w:left="2389" w:hanging="360"/>
      </w:pPr>
      <w:rPr>
        <w:rFonts w:ascii="Courier New" w:hAnsi="Courier New" w:cs="Courier New" w:hint="default"/>
      </w:rPr>
    </w:lvl>
    <w:lvl w:ilvl="5" w:tplc="04160005" w:tentative="1">
      <w:start w:val="1"/>
      <w:numFmt w:val="bullet"/>
      <w:lvlText w:val=""/>
      <w:lvlJc w:val="left"/>
      <w:pPr>
        <w:ind w:left="3109" w:hanging="360"/>
      </w:pPr>
      <w:rPr>
        <w:rFonts w:ascii="Wingdings" w:hAnsi="Wingdings" w:hint="default"/>
      </w:rPr>
    </w:lvl>
    <w:lvl w:ilvl="6" w:tplc="04160001" w:tentative="1">
      <w:start w:val="1"/>
      <w:numFmt w:val="bullet"/>
      <w:lvlText w:val=""/>
      <w:lvlJc w:val="left"/>
      <w:pPr>
        <w:ind w:left="3829" w:hanging="360"/>
      </w:pPr>
      <w:rPr>
        <w:rFonts w:ascii="Symbol" w:hAnsi="Symbol" w:hint="default"/>
      </w:rPr>
    </w:lvl>
    <w:lvl w:ilvl="7" w:tplc="04160003" w:tentative="1">
      <w:start w:val="1"/>
      <w:numFmt w:val="bullet"/>
      <w:lvlText w:val="o"/>
      <w:lvlJc w:val="left"/>
      <w:pPr>
        <w:ind w:left="4549" w:hanging="360"/>
      </w:pPr>
      <w:rPr>
        <w:rFonts w:ascii="Courier New" w:hAnsi="Courier New" w:cs="Courier New" w:hint="default"/>
      </w:rPr>
    </w:lvl>
    <w:lvl w:ilvl="8" w:tplc="04160005" w:tentative="1">
      <w:start w:val="1"/>
      <w:numFmt w:val="bullet"/>
      <w:lvlText w:val=""/>
      <w:lvlJc w:val="left"/>
      <w:pPr>
        <w:ind w:left="5269" w:hanging="360"/>
      </w:pPr>
      <w:rPr>
        <w:rFonts w:ascii="Wingdings" w:hAnsi="Wingdings" w:hint="default"/>
      </w:rPr>
    </w:lvl>
  </w:abstractNum>
  <w:abstractNum w:abstractNumId="4" w15:restartNumberingAfterBreak="0">
    <w:nsid w:val="08BC4412"/>
    <w:multiLevelType w:val="multilevel"/>
    <w:tmpl w:val="926EFA0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B2AAF"/>
    <w:multiLevelType w:val="multilevel"/>
    <w:tmpl w:val="00540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EC75DC"/>
    <w:multiLevelType w:val="multilevel"/>
    <w:tmpl w:val="7EC027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47D8B"/>
    <w:multiLevelType w:val="multilevel"/>
    <w:tmpl w:val="496E99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80419A"/>
    <w:multiLevelType w:val="multilevel"/>
    <w:tmpl w:val="E9E0FA2E"/>
    <w:lvl w:ilvl="0">
      <w:start w:val="1"/>
      <w:numFmt w:val="decimal"/>
      <w:lvlText w:val="%1."/>
      <w:lvlJc w:val="left"/>
      <w:pPr>
        <w:ind w:left="3479" w:hanging="360"/>
      </w:pPr>
      <w:rPr>
        <w:rFonts w:hint="default"/>
      </w:rPr>
    </w:lvl>
    <w:lvl w:ilvl="1">
      <w:start w:val="1"/>
      <w:numFmt w:val="decimal"/>
      <w:lvlText w:val="%1.%2."/>
      <w:lvlJc w:val="left"/>
      <w:pPr>
        <w:ind w:left="3911" w:hanging="432"/>
      </w:pPr>
      <w:rPr>
        <w:rFonts w:hint="default"/>
      </w:rPr>
    </w:lvl>
    <w:lvl w:ilvl="2">
      <w:start w:val="1"/>
      <w:numFmt w:val="decimal"/>
      <w:lvlText w:val="%1.%2.%3."/>
      <w:lvlJc w:val="left"/>
      <w:pPr>
        <w:ind w:left="4343"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9" w15:restartNumberingAfterBreak="0">
    <w:nsid w:val="2F3E1159"/>
    <w:multiLevelType w:val="hybridMultilevel"/>
    <w:tmpl w:val="4BBAA7A2"/>
    <w:lvl w:ilvl="0" w:tplc="D3CAAE8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15:restartNumberingAfterBreak="0">
    <w:nsid w:val="32DD7C86"/>
    <w:multiLevelType w:val="multilevel"/>
    <w:tmpl w:val="CA8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EC4578"/>
    <w:multiLevelType w:val="multilevel"/>
    <w:tmpl w:val="495493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83655B"/>
    <w:multiLevelType w:val="hybridMultilevel"/>
    <w:tmpl w:val="E662F296"/>
    <w:lvl w:ilvl="0" w:tplc="128E3CEE">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3" w15:restartNumberingAfterBreak="0">
    <w:nsid w:val="3BB718E6"/>
    <w:multiLevelType w:val="hybridMultilevel"/>
    <w:tmpl w:val="CE6EE7E2"/>
    <w:lvl w:ilvl="0" w:tplc="CC0455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F77710"/>
    <w:multiLevelType w:val="multilevel"/>
    <w:tmpl w:val="A65CBA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743C03"/>
    <w:multiLevelType w:val="multilevel"/>
    <w:tmpl w:val="68EA36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595681"/>
    <w:multiLevelType w:val="hybridMultilevel"/>
    <w:tmpl w:val="BD24C57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15:restartNumberingAfterBreak="0">
    <w:nsid w:val="4DEB7B6C"/>
    <w:multiLevelType w:val="multilevel"/>
    <w:tmpl w:val="47B0B47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4FC8687E"/>
    <w:multiLevelType w:val="hybridMultilevel"/>
    <w:tmpl w:val="EA6E1D14"/>
    <w:lvl w:ilvl="0" w:tplc="9D486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D55D8A"/>
    <w:multiLevelType w:val="hybridMultilevel"/>
    <w:tmpl w:val="1A101B12"/>
    <w:lvl w:ilvl="0" w:tplc="253A9950">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0" w15:restartNumberingAfterBreak="0">
    <w:nsid w:val="59F0092D"/>
    <w:multiLevelType w:val="multilevel"/>
    <w:tmpl w:val="CD7E03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4D1C3C"/>
    <w:multiLevelType w:val="multilevel"/>
    <w:tmpl w:val="67E8A1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996BA2"/>
    <w:multiLevelType w:val="multilevel"/>
    <w:tmpl w:val="01020D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EA222B"/>
    <w:multiLevelType w:val="hybridMultilevel"/>
    <w:tmpl w:val="9D78978A"/>
    <w:lvl w:ilvl="0" w:tplc="F3D84B5C">
      <w:start w:val="1"/>
      <w:numFmt w:val="decimal"/>
      <w:lvlText w:val="(%1)"/>
      <w:lvlJc w:val="left"/>
      <w:pPr>
        <w:ind w:left="717" w:hanging="360"/>
      </w:pPr>
      <w:rPr>
        <w:rFonts w:eastAsiaTheme="minorHAnsi"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4" w15:restartNumberingAfterBreak="0">
    <w:nsid w:val="7B5551AD"/>
    <w:multiLevelType w:val="multilevel"/>
    <w:tmpl w:val="B2805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200F13"/>
    <w:multiLevelType w:val="hybridMultilevel"/>
    <w:tmpl w:val="819CB8DA"/>
    <w:lvl w:ilvl="0" w:tplc="117C3242">
      <w:start w:val="1"/>
      <w:numFmt w:val="decimal"/>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num w:numId="1">
    <w:abstractNumId w:val="6"/>
  </w:num>
  <w:num w:numId="2">
    <w:abstractNumId w:val="16"/>
  </w:num>
  <w:num w:numId="3">
    <w:abstractNumId w:val="23"/>
  </w:num>
  <w:num w:numId="4">
    <w:abstractNumId w:val="0"/>
  </w:num>
  <w:num w:numId="5">
    <w:abstractNumId w:val="1"/>
  </w:num>
  <w:num w:numId="6">
    <w:abstractNumId w:val="12"/>
  </w:num>
  <w:num w:numId="7">
    <w:abstractNumId w:val="21"/>
  </w:num>
  <w:num w:numId="8">
    <w:abstractNumId w:val="11"/>
  </w:num>
  <w:num w:numId="9">
    <w:abstractNumId w:val="4"/>
  </w:num>
  <w:num w:numId="10">
    <w:abstractNumId w:val="5"/>
  </w:num>
  <w:num w:numId="11">
    <w:abstractNumId w:val="15"/>
  </w:num>
  <w:num w:numId="12">
    <w:abstractNumId w:val="20"/>
  </w:num>
  <w:num w:numId="13">
    <w:abstractNumId w:val="7"/>
  </w:num>
  <w:num w:numId="14">
    <w:abstractNumId w:val="25"/>
  </w:num>
  <w:num w:numId="15">
    <w:abstractNumId w:val="8"/>
  </w:num>
  <w:num w:numId="16">
    <w:abstractNumId w:val="10"/>
  </w:num>
  <w:num w:numId="17">
    <w:abstractNumId w:val="22"/>
  </w:num>
  <w:num w:numId="18">
    <w:abstractNumId w:val="14"/>
  </w:num>
  <w:num w:numId="19">
    <w:abstractNumId w:val="17"/>
  </w:num>
  <w:num w:numId="20">
    <w:abstractNumId w:val="24"/>
  </w:num>
  <w:num w:numId="21">
    <w:abstractNumId w:val="18"/>
  </w:num>
  <w:num w:numId="22">
    <w:abstractNumId w:val="13"/>
  </w:num>
  <w:num w:numId="23">
    <w:abstractNumId w:val="2"/>
  </w:num>
  <w:num w:numId="24">
    <w:abstractNumId w:val="19"/>
  </w:num>
  <w:num w:numId="25">
    <w:abstractNumId w:val="3"/>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131078" w:nlCheck="1" w:checkStyle="0"/>
  <w:activeWritingStyle w:appName="MSWord" w:lang="en-US" w:vendorID="64" w:dllVersion="131078" w:nlCheck="1" w:checkStyle="1"/>
  <w:defaultTabStop w:val="708"/>
  <w:hyphenationZone w:val="425"/>
  <w:doNotHyphenateCaps/>
  <w:characterSpacingControl w:val="doNotCompress"/>
  <w:doNotValidateAgainstSchema/>
  <w:doNotDemarcateInvalidXml/>
  <w:hdrShapeDefaults>
    <o:shapedefaults v:ext="edit" spidmax="3665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3C"/>
    <w:rsid w:val="000037E8"/>
    <w:rsid w:val="000045B0"/>
    <w:rsid w:val="00006077"/>
    <w:rsid w:val="00006153"/>
    <w:rsid w:val="00006C4B"/>
    <w:rsid w:val="000078C7"/>
    <w:rsid w:val="00012766"/>
    <w:rsid w:val="00013D91"/>
    <w:rsid w:val="00014A3F"/>
    <w:rsid w:val="000156E0"/>
    <w:rsid w:val="00020F18"/>
    <w:rsid w:val="00022F4D"/>
    <w:rsid w:val="00024472"/>
    <w:rsid w:val="0002468D"/>
    <w:rsid w:val="00026321"/>
    <w:rsid w:val="000273EA"/>
    <w:rsid w:val="0003082D"/>
    <w:rsid w:val="00031BE7"/>
    <w:rsid w:val="00035652"/>
    <w:rsid w:val="00037231"/>
    <w:rsid w:val="00040618"/>
    <w:rsid w:val="00041040"/>
    <w:rsid w:val="0004146B"/>
    <w:rsid w:val="00041BB5"/>
    <w:rsid w:val="000443D6"/>
    <w:rsid w:val="00044912"/>
    <w:rsid w:val="000452CF"/>
    <w:rsid w:val="00045E33"/>
    <w:rsid w:val="00046342"/>
    <w:rsid w:val="00050529"/>
    <w:rsid w:val="00054818"/>
    <w:rsid w:val="00055280"/>
    <w:rsid w:val="00055C16"/>
    <w:rsid w:val="0005648E"/>
    <w:rsid w:val="0005674C"/>
    <w:rsid w:val="00057739"/>
    <w:rsid w:val="00057858"/>
    <w:rsid w:val="00060006"/>
    <w:rsid w:val="000600E2"/>
    <w:rsid w:val="000610F9"/>
    <w:rsid w:val="0006274D"/>
    <w:rsid w:val="00063D50"/>
    <w:rsid w:val="000642AE"/>
    <w:rsid w:val="00065092"/>
    <w:rsid w:val="000653BD"/>
    <w:rsid w:val="000676E8"/>
    <w:rsid w:val="00070ED1"/>
    <w:rsid w:val="000710A9"/>
    <w:rsid w:val="000724E0"/>
    <w:rsid w:val="0007381D"/>
    <w:rsid w:val="00074817"/>
    <w:rsid w:val="0007483D"/>
    <w:rsid w:val="00075757"/>
    <w:rsid w:val="00080448"/>
    <w:rsid w:val="00081657"/>
    <w:rsid w:val="00081954"/>
    <w:rsid w:val="00081C35"/>
    <w:rsid w:val="00085435"/>
    <w:rsid w:val="0008774D"/>
    <w:rsid w:val="00087994"/>
    <w:rsid w:val="00087996"/>
    <w:rsid w:val="00090CDF"/>
    <w:rsid w:val="00091548"/>
    <w:rsid w:val="0009188E"/>
    <w:rsid w:val="0009239B"/>
    <w:rsid w:val="00092CEA"/>
    <w:rsid w:val="000972EA"/>
    <w:rsid w:val="000A04CB"/>
    <w:rsid w:val="000A074F"/>
    <w:rsid w:val="000A35FE"/>
    <w:rsid w:val="000A3909"/>
    <w:rsid w:val="000A7B30"/>
    <w:rsid w:val="000B06CB"/>
    <w:rsid w:val="000B2822"/>
    <w:rsid w:val="000B582E"/>
    <w:rsid w:val="000B7307"/>
    <w:rsid w:val="000C066D"/>
    <w:rsid w:val="000C0CC3"/>
    <w:rsid w:val="000C10FE"/>
    <w:rsid w:val="000C3615"/>
    <w:rsid w:val="000C3889"/>
    <w:rsid w:val="000C4588"/>
    <w:rsid w:val="000C525B"/>
    <w:rsid w:val="000C74F0"/>
    <w:rsid w:val="000D0EB2"/>
    <w:rsid w:val="000D310D"/>
    <w:rsid w:val="000D392A"/>
    <w:rsid w:val="000D59B1"/>
    <w:rsid w:val="000E052D"/>
    <w:rsid w:val="000E0EC7"/>
    <w:rsid w:val="000E4DBC"/>
    <w:rsid w:val="000E6324"/>
    <w:rsid w:val="000E6566"/>
    <w:rsid w:val="000F2D10"/>
    <w:rsid w:val="000F39EE"/>
    <w:rsid w:val="000F3DEA"/>
    <w:rsid w:val="000F601A"/>
    <w:rsid w:val="000F6BB0"/>
    <w:rsid w:val="00100518"/>
    <w:rsid w:val="001016ED"/>
    <w:rsid w:val="00101734"/>
    <w:rsid w:val="00103EEC"/>
    <w:rsid w:val="0010531D"/>
    <w:rsid w:val="001053A3"/>
    <w:rsid w:val="00105BEC"/>
    <w:rsid w:val="00105FD1"/>
    <w:rsid w:val="00106F76"/>
    <w:rsid w:val="0010791C"/>
    <w:rsid w:val="001107D1"/>
    <w:rsid w:val="00111015"/>
    <w:rsid w:val="00111336"/>
    <w:rsid w:val="00111EA9"/>
    <w:rsid w:val="00115007"/>
    <w:rsid w:val="0011672D"/>
    <w:rsid w:val="00116818"/>
    <w:rsid w:val="00121487"/>
    <w:rsid w:val="001230AD"/>
    <w:rsid w:val="00124500"/>
    <w:rsid w:val="001247D8"/>
    <w:rsid w:val="00125DEF"/>
    <w:rsid w:val="00126680"/>
    <w:rsid w:val="001274B5"/>
    <w:rsid w:val="0012773D"/>
    <w:rsid w:val="001305AC"/>
    <w:rsid w:val="001316E7"/>
    <w:rsid w:val="00131786"/>
    <w:rsid w:val="00132FC5"/>
    <w:rsid w:val="0013430B"/>
    <w:rsid w:val="00136219"/>
    <w:rsid w:val="00136515"/>
    <w:rsid w:val="00137A0E"/>
    <w:rsid w:val="00137EDE"/>
    <w:rsid w:val="00140F4A"/>
    <w:rsid w:val="00142261"/>
    <w:rsid w:val="00142487"/>
    <w:rsid w:val="00142520"/>
    <w:rsid w:val="00143B97"/>
    <w:rsid w:val="0014444A"/>
    <w:rsid w:val="00147359"/>
    <w:rsid w:val="0015094F"/>
    <w:rsid w:val="00151C43"/>
    <w:rsid w:val="00153756"/>
    <w:rsid w:val="001540B8"/>
    <w:rsid w:val="00154CAB"/>
    <w:rsid w:val="00156CD9"/>
    <w:rsid w:val="00157C06"/>
    <w:rsid w:val="00157D67"/>
    <w:rsid w:val="001608AF"/>
    <w:rsid w:val="001618DC"/>
    <w:rsid w:val="00166D5C"/>
    <w:rsid w:val="00167D67"/>
    <w:rsid w:val="00170027"/>
    <w:rsid w:val="001728A4"/>
    <w:rsid w:val="00173F3E"/>
    <w:rsid w:val="00175A91"/>
    <w:rsid w:val="00181249"/>
    <w:rsid w:val="0018144A"/>
    <w:rsid w:val="00182477"/>
    <w:rsid w:val="001826AA"/>
    <w:rsid w:val="0018365A"/>
    <w:rsid w:val="001844EB"/>
    <w:rsid w:val="00187877"/>
    <w:rsid w:val="00190DA6"/>
    <w:rsid w:val="00190EC5"/>
    <w:rsid w:val="00192993"/>
    <w:rsid w:val="00193006"/>
    <w:rsid w:val="0019387E"/>
    <w:rsid w:val="001947BC"/>
    <w:rsid w:val="00194A8F"/>
    <w:rsid w:val="00195528"/>
    <w:rsid w:val="001964AC"/>
    <w:rsid w:val="00197ABB"/>
    <w:rsid w:val="00197EBA"/>
    <w:rsid w:val="001A0449"/>
    <w:rsid w:val="001A0BD7"/>
    <w:rsid w:val="001A12C7"/>
    <w:rsid w:val="001A2458"/>
    <w:rsid w:val="001A258C"/>
    <w:rsid w:val="001A44CA"/>
    <w:rsid w:val="001A4DC5"/>
    <w:rsid w:val="001A711F"/>
    <w:rsid w:val="001B06A3"/>
    <w:rsid w:val="001B1C67"/>
    <w:rsid w:val="001B1D97"/>
    <w:rsid w:val="001B2267"/>
    <w:rsid w:val="001B5460"/>
    <w:rsid w:val="001B5CC3"/>
    <w:rsid w:val="001B5FF6"/>
    <w:rsid w:val="001B6246"/>
    <w:rsid w:val="001B65D1"/>
    <w:rsid w:val="001B6C9E"/>
    <w:rsid w:val="001C263D"/>
    <w:rsid w:val="001C56B2"/>
    <w:rsid w:val="001C6700"/>
    <w:rsid w:val="001D053B"/>
    <w:rsid w:val="001D0CFC"/>
    <w:rsid w:val="001D1198"/>
    <w:rsid w:val="001D19E5"/>
    <w:rsid w:val="001D1ADE"/>
    <w:rsid w:val="001D3E64"/>
    <w:rsid w:val="001D4A10"/>
    <w:rsid w:val="001D5144"/>
    <w:rsid w:val="001D5542"/>
    <w:rsid w:val="001E07C6"/>
    <w:rsid w:val="001E0955"/>
    <w:rsid w:val="001E2606"/>
    <w:rsid w:val="001E34AD"/>
    <w:rsid w:val="001E37B7"/>
    <w:rsid w:val="001E3B3F"/>
    <w:rsid w:val="001E4225"/>
    <w:rsid w:val="001E48B1"/>
    <w:rsid w:val="001E6847"/>
    <w:rsid w:val="001E7703"/>
    <w:rsid w:val="001F03AE"/>
    <w:rsid w:val="001F1CD0"/>
    <w:rsid w:val="001F251D"/>
    <w:rsid w:val="001F2787"/>
    <w:rsid w:val="001F3375"/>
    <w:rsid w:val="001F45BC"/>
    <w:rsid w:val="002002B0"/>
    <w:rsid w:val="002011DD"/>
    <w:rsid w:val="00201D50"/>
    <w:rsid w:val="002020C2"/>
    <w:rsid w:val="00205070"/>
    <w:rsid w:val="00205111"/>
    <w:rsid w:val="002053C8"/>
    <w:rsid w:val="002059C6"/>
    <w:rsid w:val="0020620C"/>
    <w:rsid w:val="00207969"/>
    <w:rsid w:val="002100F3"/>
    <w:rsid w:val="00213F73"/>
    <w:rsid w:val="0021536D"/>
    <w:rsid w:val="002155EE"/>
    <w:rsid w:val="00216347"/>
    <w:rsid w:val="00217972"/>
    <w:rsid w:val="00217C64"/>
    <w:rsid w:val="0022031C"/>
    <w:rsid w:val="002218B7"/>
    <w:rsid w:val="00223EF7"/>
    <w:rsid w:val="0022418A"/>
    <w:rsid w:val="00225AF2"/>
    <w:rsid w:val="002263C3"/>
    <w:rsid w:val="002269AC"/>
    <w:rsid w:val="00227DAB"/>
    <w:rsid w:val="00233CA2"/>
    <w:rsid w:val="002345C4"/>
    <w:rsid w:val="0023636E"/>
    <w:rsid w:val="0023663E"/>
    <w:rsid w:val="002366C0"/>
    <w:rsid w:val="00237725"/>
    <w:rsid w:val="00240A2E"/>
    <w:rsid w:val="00242AC8"/>
    <w:rsid w:val="00243051"/>
    <w:rsid w:val="0024333B"/>
    <w:rsid w:val="00243A17"/>
    <w:rsid w:val="00244209"/>
    <w:rsid w:val="00245FDE"/>
    <w:rsid w:val="00247C90"/>
    <w:rsid w:val="00247E92"/>
    <w:rsid w:val="00250317"/>
    <w:rsid w:val="002515A2"/>
    <w:rsid w:val="00253C84"/>
    <w:rsid w:val="0025786B"/>
    <w:rsid w:val="00260154"/>
    <w:rsid w:val="00260793"/>
    <w:rsid w:val="00261FF7"/>
    <w:rsid w:val="00263331"/>
    <w:rsid w:val="00264536"/>
    <w:rsid w:val="00270BA5"/>
    <w:rsid w:val="00270E3F"/>
    <w:rsid w:val="00276E4F"/>
    <w:rsid w:val="00277739"/>
    <w:rsid w:val="002819DC"/>
    <w:rsid w:val="00283006"/>
    <w:rsid w:val="00283EFE"/>
    <w:rsid w:val="00285943"/>
    <w:rsid w:val="00285C75"/>
    <w:rsid w:val="0028670B"/>
    <w:rsid w:val="00286AEC"/>
    <w:rsid w:val="00286F33"/>
    <w:rsid w:val="002872E9"/>
    <w:rsid w:val="002909A0"/>
    <w:rsid w:val="00290D82"/>
    <w:rsid w:val="00291ECD"/>
    <w:rsid w:val="00291F42"/>
    <w:rsid w:val="0029207D"/>
    <w:rsid w:val="002922E0"/>
    <w:rsid w:val="00292541"/>
    <w:rsid w:val="00294623"/>
    <w:rsid w:val="0029494B"/>
    <w:rsid w:val="00296137"/>
    <w:rsid w:val="00297F4D"/>
    <w:rsid w:val="002A24A0"/>
    <w:rsid w:val="002A2DA8"/>
    <w:rsid w:val="002A481A"/>
    <w:rsid w:val="002A622A"/>
    <w:rsid w:val="002A6B21"/>
    <w:rsid w:val="002A70E1"/>
    <w:rsid w:val="002B09FE"/>
    <w:rsid w:val="002B1570"/>
    <w:rsid w:val="002B36C8"/>
    <w:rsid w:val="002B4E17"/>
    <w:rsid w:val="002B4F64"/>
    <w:rsid w:val="002B54F3"/>
    <w:rsid w:val="002B579D"/>
    <w:rsid w:val="002B5A29"/>
    <w:rsid w:val="002B7862"/>
    <w:rsid w:val="002C2C23"/>
    <w:rsid w:val="002C3D38"/>
    <w:rsid w:val="002C4CE1"/>
    <w:rsid w:val="002C5E70"/>
    <w:rsid w:val="002C678F"/>
    <w:rsid w:val="002C6E45"/>
    <w:rsid w:val="002C7917"/>
    <w:rsid w:val="002D0B97"/>
    <w:rsid w:val="002D1683"/>
    <w:rsid w:val="002D1FCF"/>
    <w:rsid w:val="002D2FFF"/>
    <w:rsid w:val="002D3C78"/>
    <w:rsid w:val="002D3F55"/>
    <w:rsid w:val="002D4D46"/>
    <w:rsid w:val="002D5D0A"/>
    <w:rsid w:val="002D641E"/>
    <w:rsid w:val="002D7437"/>
    <w:rsid w:val="002E06F7"/>
    <w:rsid w:val="002E0F5A"/>
    <w:rsid w:val="002E26D2"/>
    <w:rsid w:val="002E390D"/>
    <w:rsid w:val="002E4928"/>
    <w:rsid w:val="002E49DE"/>
    <w:rsid w:val="002E55F7"/>
    <w:rsid w:val="002E7D2E"/>
    <w:rsid w:val="002F0074"/>
    <w:rsid w:val="002F0631"/>
    <w:rsid w:val="002F0B2D"/>
    <w:rsid w:val="002F0D00"/>
    <w:rsid w:val="002F188E"/>
    <w:rsid w:val="002F39FB"/>
    <w:rsid w:val="002F6363"/>
    <w:rsid w:val="002F63C5"/>
    <w:rsid w:val="002F67B7"/>
    <w:rsid w:val="003007DC"/>
    <w:rsid w:val="00301690"/>
    <w:rsid w:val="00301BDD"/>
    <w:rsid w:val="00301D78"/>
    <w:rsid w:val="00301E3B"/>
    <w:rsid w:val="00302B6E"/>
    <w:rsid w:val="003042C8"/>
    <w:rsid w:val="003049DF"/>
    <w:rsid w:val="00305213"/>
    <w:rsid w:val="00305D12"/>
    <w:rsid w:val="00305F32"/>
    <w:rsid w:val="0030795F"/>
    <w:rsid w:val="00307FD3"/>
    <w:rsid w:val="003108E1"/>
    <w:rsid w:val="00312849"/>
    <w:rsid w:val="003145CD"/>
    <w:rsid w:val="00315C0E"/>
    <w:rsid w:val="0031674A"/>
    <w:rsid w:val="00316B90"/>
    <w:rsid w:val="0031766D"/>
    <w:rsid w:val="00317E9B"/>
    <w:rsid w:val="00320B92"/>
    <w:rsid w:val="00320CF4"/>
    <w:rsid w:val="0032189E"/>
    <w:rsid w:val="00321E3B"/>
    <w:rsid w:val="00323525"/>
    <w:rsid w:val="00324117"/>
    <w:rsid w:val="00324419"/>
    <w:rsid w:val="00325DE8"/>
    <w:rsid w:val="00326DF9"/>
    <w:rsid w:val="0032793C"/>
    <w:rsid w:val="00327F44"/>
    <w:rsid w:val="00330A5C"/>
    <w:rsid w:val="003314E7"/>
    <w:rsid w:val="0033176E"/>
    <w:rsid w:val="00331E6D"/>
    <w:rsid w:val="003323ED"/>
    <w:rsid w:val="003332B4"/>
    <w:rsid w:val="00335FDA"/>
    <w:rsid w:val="00337724"/>
    <w:rsid w:val="0034058C"/>
    <w:rsid w:val="0034079E"/>
    <w:rsid w:val="00340A25"/>
    <w:rsid w:val="00340F1E"/>
    <w:rsid w:val="0034242B"/>
    <w:rsid w:val="00343CCA"/>
    <w:rsid w:val="00345BB1"/>
    <w:rsid w:val="00347886"/>
    <w:rsid w:val="003478D9"/>
    <w:rsid w:val="00347A03"/>
    <w:rsid w:val="003509CD"/>
    <w:rsid w:val="00350C32"/>
    <w:rsid w:val="00350F30"/>
    <w:rsid w:val="00350FA5"/>
    <w:rsid w:val="00351C31"/>
    <w:rsid w:val="00353FCE"/>
    <w:rsid w:val="003548E3"/>
    <w:rsid w:val="00356F5A"/>
    <w:rsid w:val="00360A8B"/>
    <w:rsid w:val="00361A15"/>
    <w:rsid w:val="003637F3"/>
    <w:rsid w:val="003639D9"/>
    <w:rsid w:val="00363CF6"/>
    <w:rsid w:val="003647B8"/>
    <w:rsid w:val="00364E3C"/>
    <w:rsid w:val="0036567D"/>
    <w:rsid w:val="00365DF3"/>
    <w:rsid w:val="00366846"/>
    <w:rsid w:val="003669B4"/>
    <w:rsid w:val="00371268"/>
    <w:rsid w:val="00371377"/>
    <w:rsid w:val="003733E9"/>
    <w:rsid w:val="0037432C"/>
    <w:rsid w:val="00374D08"/>
    <w:rsid w:val="003758F0"/>
    <w:rsid w:val="003762F8"/>
    <w:rsid w:val="00376538"/>
    <w:rsid w:val="00377254"/>
    <w:rsid w:val="00377ECC"/>
    <w:rsid w:val="00380797"/>
    <w:rsid w:val="0038116A"/>
    <w:rsid w:val="0038127A"/>
    <w:rsid w:val="00382FDD"/>
    <w:rsid w:val="003830F9"/>
    <w:rsid w:val="00384275"/>
    <w:rsid w:val="0038487D"/>
    <w:rsid w:val="00385E2A"/>
    <w:rsid w:val="00387844"/>
    <w:rsid w:val="00390DEE"/>
    <w:rsid w:val="00391F19"/>
    <w:rsid w:val="003A0ACA"/>
    <w:rsid w:val="003A1050"/>
    <w:rsid w:val="003A3970"/>
    <w:rsid w:val="003A46A6"/>
    <w:rsid w:val="003A5EF3"/>
    <w:rsid w:val="003A6928"/>
    <w:rsid w:val="003B0A85"/>
    <w:rsid w:val="003B2D09"/>
    <w:rsid w:val="003B35AC"/>
    <w:rsid w:val="003B35EF"/>
    <w:rsid w:val="003B3AD1"/>
    <w:rsid w:val="003B44D5"/>
    <w:rsid w:val="003B4AF1"/>
    <w:rsid w:val="003B5122"/>
    <w:rsid w:val="003B5319"/>
    <w:rsid w:val="003B6933"/>
    <w:rsid w:val="003B71E2"/>
    <w:rsid w:val="003B746A"/>
    <w:rsid w:val="003C0A0D"/>
    <w:rsid w:val="003C1A01"/>
    <w:rsid w:val="003C1AF5"/>
    <w:rsid w:val="003C2585"/>
    <w:rsid w:val="003C2F0E"/>
    <w:rsid w:val="003C3A81"/>
    <w:rsid w:val="003C3E42"/>
    <w:rsid w:val="003C4AAD"/>
    <w:rsid w:val="003C60D5"/>
    <w:rsid w:val="003C7810"/>
    <w:rsid w:val="003C7A0A"/>
    <w:rsid w:val="003D1E8B"/>
    <w:rsid w:val="003D1EC0"/>
    <w:rsid w:val="003D2DE9"/>
    <w:rsid w:val="003D3410"/>
    <w:rsid w:val="003D4B36"/>
    <w:rsid w:val="003D51BD"/>
    <w:rsid w:val="003D5EA5"/>
    <w:rsid w:val="003D6D09"/>
    <w:rsid w:val="003D78BA"/>
    <w:rsid w:val="003E15E9"/>
    <w:rsid w:val="003E1622"/>
    <w:rsid w:val="003E1BB4"/>
    <w:rsid w:val="003E241A"/>
    <w:rsid w:val="003E2581"/>
    <w:rsid w:val="003E2BA2"/>
    <w:rsid w:val="003E456C"/>
    <w:rsid w:val="003E5C46"/>
    <w:rsid w:val="003F063E"/>
    <w:rsid w:val="003F23FD"/>
    <w:rsid w:val="003F2F92"/>
    <w:rsid w:val="003F3C2D"/>
    <w:rsid w:val="003F4C02"/>
    <w:rsid w:val="003F503B"/>
    <w:rsid w:val="003F561A"/>
    <w:rsid w:val="003F7B36"/>
    <w:rsid w:val="00403650"/>
    <w:rsid w:val="00403A1F"/>
    <w:rsid w:val="00403ECE"/>
    <w:rsid w:val="0040426A"/>
    <w:rsid w:val="004047A4"/>
    <w:rsid w:val="004059B6"/>
    <w:rsid w:val="004070A2"/>
    <w:rsid w:val="004107E8"/>
    <w:rsid w:val="004126BE"/>
    <w:rsid w:val="00412D4F"/>
    <w:rsid w:val="0041373E"/>
    <w:rsid w:val="00413E03"/>
    <w:rsid w:val="00414129"/>
    <w:rsid w:val="00415295"/>
    <w:rsid w:val="0041668B"/>
    <w:rsid w:val="00422CF7"/>
    <w:rsid w:val="0042441E"/>
    <w:rsid w:val="00425954"/>
    <w:rsid w:val="004259AC"/>
    <w:rsid w:val="00430E0A"/>
    <w:rsid w:val="004312D5"/>
    <w:rsid w:val="004315B2"/>
    <w:rsid w:val="00431BBF"/>
    <w:rsid w:val="00432CCE"/>
    <w:rsid w:val="00433022"/>
    <w:rsid w:val="0043389D"/>
    <w:rsid w:val="00434643"/>
    <w:rsid w:val="004362D6"/>
    <w:rsid w:val="004416C9"/>
    <w:rsid w:val="00442399"/>
    <w:rsid w:val="00442A12"/>
    <w:rsid w:val="00442B2B"/>
    <w:rsid w:val="00445BB0"/>
    <w:rsid w:val="00446A98"/>
    <w:rsid w:val="004475A3"/>
    <w:rsid w:val="00450503"/>
    <w:rsid w:val="004505FC"/>
    <w:rsid w:val="00450DCD"/>
    <w:rsid w:val="0045187C"/>
    <w:rsid w:val="00451C95"/>
    <w:rsid w:val="0045287C"/>
    <w:rsid w:val="00455727"/>
    <w:rsid w:val="00456799"/>
    <w:rsid w:val="00456C38"/>
    <w:rsid w:val="00457E39"/>
    <w:rsid w:val="0046006D"/>
    <w:rsid w:val="00463428"/>
    <w:rsid w:val="00464B2F"/>
    <w:rsid w:val="00464C67"/>
    <w:rsid w:val="004664E1"/>
    <w:rsid w:val="00466ED0"/>
    <w:rsid w:val="00467322"/>
    <w:rsid w:val="00470E78"/>
    <w:rsid w:val="00471186"/>
    <w:rsid w:val="00471E84"/>
    <w:rsid w:val="00472606"/>
    <w:rsid w:val="004732CA"/>
    <w:rsid w:val="0047343F"/>
    <w:rsid w:val="00473AFB"/>
    <w:rsid w:val="00474573"/>
    <w:rsid w:val="00475D69"/>
    <w:rsid w:val="00481F34"/>
    <w:rsid w:val="00482246"/>
    <w:rsid w:val="00483643"/>
    <w:rsid w:val="00484438"/>
    <w:rsid w:val="00484A50"/>
    <w:rsid w:val="00484FC6"/>
    <w:rsid w:val="00486632"/>
    <w:rsid w:val="00487BE9"/>
    <w:rsid w:val="00490113"/>
    <w:rsid w:val="004901C0"/>
    <w:rsid w:val="00491B86"/>
    <w:rsid w:val="00493701"/>
    <w:rsid w:val="00493B53"/>
    <w:rsid w:val="004946F5"/>
    <w:rsid w:val="00496C0D"/>
    <w:rsid w:val="00497FA6"/>
    <w:rsid w:val="004A1B56"/>
    <w:rsid w:val="004A1BF3"/>
    <w:rsid w:val="004A27B9"/>
    <w:rsid w:val="004A6425"/>
    <w:rsid w:val="004B0AC3"/>
    <w:rsid w:val="004B21E9"/>
    <w:rsid w:val="004B4875"/>
    <w:rsid w:val="004B5A94"/>
    <w:rsid w:val="004B6D74"/>
    <w:rsid w:val="004B6FED"/>
    <w:rsid w:val="004C0538"/>
    <w:rsid w:val="004C054F"/>
    <w:rsid w:val="004C0FBB"/>
    <w:rsid w:val="004C21EA"/>
    <w:rsid w:val="004C2715"/>
    <w:rsid w:val="004C3012"/>
    <w:rsid w:val="004C4C48"/>
    <w:rsid w:val="004C61F0"/>
    <w:rsid w:val="004C64DE"/>
    <w:rsid w:val="004C723D"/>
    <w:rsid w:val="004C7F42"/>
    <w:rsid w:val="004D2AE4"/>
    <w:rsid w:val="004D62A6"/>
    <w:rsid w:val="004D6E53"/>
    <w:rsid w:val="004D7809"/>
    <w:rsid w:val="004E041D"/>
    <w:rsid w:val="004E2953"/>
    <w:rsid w:val="004E3DC5"/>
    <w:rsid w:val="004E5F7E"/>
    <w:rsid w:val="004E617D"/>
    <w:rsid w:val="004F0A06"/>
    <w:rsid w:val="004F1A3B"/>
    <w:rsid w:val="004F3022"/>
    <w:rsid w:val="004F33CF"/>
    <w:rsid w:val="004F3675"/>
    <w:rsid w:val="004F3996"/>
    <w:rsid w:val="004F553C"/>
    <w:rsid w:val="004F5668"/>
    <w:rsid w:val="004F5AEC"/>
    <w:rsid w:val="004F626C"/>
    <w:rsid w:val="004F63C0"/>
    <w:rsid w:val="004F6E99"/>
    <w:rsid w:val="004F709F"/>
    <w:rsid w:val="00500AFC"/>
    <w:rsid w:val="00501127"/>
    <w:rsid w:val="005019F9"/>
    <w:rsid w:val="00503C5A"/>
    <w:rsid w:val="00506490"/>
    <w:rsid w:val="00507276"/>
    <w:rsid w:val="0051032E"/>
    <w:rsid w:val="0051195A"/>
    <w:rsid w:val="0051309F"/>
    <w:rsid w:val="00515604"/>
    <w:rsid w:val="00516B8B"/>
    <w:rsid w:val="00517C4C"/>
    <w:rsid w:val="00517D87"/>
    <w:rsid w:val="005225D3"/>
    <w:rsid w:val="00523B8C"/>
    <w:rsid w:val="005244D7"/>
    <w:rsid w:val="00525A34"/>
    <w:rsid w:val="00526A8E"/>
    <w:rsid w:val="00526E05"/>
    <w:rsid w:val="00527499"/>
    <w:rsid w:val="005278B7"/>
    <w:rsid w:val="00532973"/>
    <w:rsid w:val="00532C28"/>
    <w:rsid w:val="005333AC"/>
    <w:rsid w:val="00533807"/>
    <w:rsid w:val="005342F6"/>
    <w:rsid w:val="005344AE"/>
    <w:rsid w:val="00534968"/>
    <w:rsid w:val="00534E02"/>
    <w:rsid w:val="00535018"/>
    <w:rsid w:val="00535ED0"/>
    <w:rsid w:val="005400A9"/>
    <w:rsid w:val="00542635"/>
    <w:rsid w:val="0054348C"/>
    <w:rsid w:val="005455EB"/>
    <w:rsid w:val="00545EF9"/>
    <w:rsid w:val="00550BA0"/>
    <w:rsid w:val="00550D02"/>
    <w:rsid w:val="00551305"/>
    <w:rsid w:val="005546CB"/>
    <w:rsid w:val="0055470B"/>
    <w:rsid w:val="00554C79"/>
    <w:rsid w:val="005558B5"/>
    <w:rsid w:val="00555B14"/>
    <w:rsid w:val="005563C2"/>
    <w:rsid w:val="00557853"/>
    <w:rsid w:val="00557AFB"/>
    <w:rsid w:val="00557C88"/>
    <w:rsid w:val="00565802"/>
    <w:rsid w:val="00565C9A"/>
    <w:rsid w:val="005670C9"/>
    <w:rsid w:val="0057071A"/>
    <w:rsid w:val="005719A6"/>
    <w:rsid w:val="00571BF6"/>
    <w:rsid w:val="005721C3"/>
    <w:rsid w:val="005724EE"/>
    <w:rsid w:val="00573AE0"/>
    <w:rsid w:val="005760FF"/>
    <w:rsid w:val="00576C66"/>
    <w:rsid w:val="005814B0"/>
    <w:rsid w:val="005828C7"/>
    <w:rsid w:val="0058438D"/>
    <w:rsid w:val="00586E0D"/>
    <w:rsid w:val="00587076"/>
    <w:rsid w:val="00590557"/>
    <w:rsid w:val="00591280"/>
    <w:rsid w:val="0059581A"/>
    <w:rsid w:val="00595E8E"/>
    <w:rsid w:val="005A17D7"/>
    <w:rsid w:val="005A330E"/>
    <w:rsid w:val="005A35C9"/>
    <w:rsid w:val="005B0203"/>
    <w:rsid w:val="005B0210"/>
    <w:rsid w:val="005B0F21"/>
    <w:rsid w:val="005B34DB"/>
    <w:rsid w:val="005B3A69"/>
    <w:rsid w:val="005B78AA"/>
    <w:rsid w:val="005C00BE"/>
    <w:rsid w:val="005C0137"/>
    <w:rsid w:val="005C02B3"/>
    <w:rsid w:val="005C04FB"/>
    <w:rsid w:val="005C055C"/>
    <w:rsid w:val="005C05EB"/>
    <w:rsid w:val="005C14FF"/>
    <w:rsid w:val="005C1F18"/>
    <w:rsid w:val="005C3E60"/>
    <w:rsid w:val="005C672F"/>
    <w:rsid w:val="005C6B0F"/>
    <w:rsid w:val="005D00C6"/>
    <w:rsid w:val="005D31A4"/>
    <w:rsid w:val="005D57BF"/>
    <w:rsid w:val="005D6DC4"/>
    <w:rsid w:val="005D78B2"/>
    <w:rsid w:val="005E0EE0"/>
    <w:rsid w:val="005E2773"/>
    <w:rsid w:val="005E2AFB"/>
    <w:rsid w:val="005E332F"/>
    <w:rsid w:val="005E3C99"/>
    <w:rsid w:val="005E4982"/>
    <w:rsid w:val="005E5398"/>
    <w:rsid w:val="005E56DA"/>
    <w:rsid w:val="005F072F"/>
    <w:rsid w:val="005F1521"/>
    <w:rsid w:val="005F1815"/>
    <w:rsid w:val="005F3EAA"/>
    <w:rsid w:val="005F45E3"/>
    <w:rsid w:val="005F47CF"/>
    <w:rsid w:val="005F6006"/>
    <w:rsid w:val="005F6CCA"/>
    <w:rsid w:val="005F6EA6"/>
    <w:rsid w:val="0060187C"/>
    <w:rsid w:val="00603628"/>
    <w:rsid w:val="006038C0"/>
    <w:rsid w:val="0060540A"/>
    <w:rsid w:val="00605578"/>
    <w:rsid w:val="00607A6C"/>
    <w:rsid w:val="00607FD6"/>
    <w:rsid w:val="00610CC2"/>
    <w:rsid w:val="006128AA"/>
    <w:rsid w:val="00612F91"/>
    <w:rsid w:val="0061352C"/>
    <w:rsid w:val="0061505C"/>
    <w:rsid w:val="0061509F"/>
    <w:rsid w:val="00617698"/>
    <w:rsid w:val="00620FEF"/>
    <w:rsid w:val="00621185"/>
    <w:rsid w:val="00622EEF"/>
    <w:rsid w:val="006230E9"/>
    <w:rsid w:val="0062423F"/>
    <w:rsid w:val="0063120B"/>
    <w:rsid w:val="0063141B"/>
    <w:rsid w:val="00631CBD"/>
    <w:rsid w:val="006334CC"/>
    <w:rsid w:val="00634008"/>
    <w:rsid w:val="006353A9"/>
    <w:rsid w:val="0063684A"/>
    <w:rsid w:val="0064122D"/>
    <w:rsid w:val="006420FE"/>
    <w:rsid w:val="00643431"/>
    <w:rsid w:val="00643679"/>
    <w:rsid w:val="0064499A"/>
    <w:rsid w:val="00645E82"/>
    <w:rsid w:val="006463C1"/>
    <w:rsid w:val="0064675C"/>
    <w:rsid w:val="00646DE8"/>
    <w:rsid w:val="00647A44"/>
    <w:rsid w:val="006505C8"/>
    <w:rsid w:val="00650FB6"/>
    <w:rsid w:val="00652225"/>
    <w:rsid w:val="0065483E"/>
    <w:rsid w:val="006550F3"/>
    <w:rsid w:val="006558F9"/>
    <w:rsid w:val="006562D2"/>
    <w:rsid w:val="00656B45"/>
    <w:rsid w:val="0065728E"/>
    <w:rsid w:val="00657698"/>
    <w:rsid w:val="006611C1"/>
    <w:rsid w:val="00662C8C"/>
    <w:rsid w:val="006670D4"/>
    <w:rsid w:val="006672FA"/>
    <w:rsid w:val="00667319"/>
    <w:rsid w:val="00670193"/>
    <w:rsid w:val="00670601"/>
    <w:rsid w:val="006710BB"/>
    <w:rsid w:val="00671D19"/>
    <w:rsid w:val="006725EA"/>
    <w:rsid w:val="00672FDB"/>
    <w:rsid w:val="00673BAF"/>
    <w:rsid w:val="0067448C"/>
    <w:rsid w:val="00674757"/>
    <w:rsid w:val="00674B41"/>
    <w:rsid w:val="00676532"/>
    <w:rsid w:val="00676749"/>
    <w:rsid w:val="00676D2D"/>
    <w:rsid w:val="00676E7E"/>
    <w:rsid w:val="006800D8"/>
    <w:rsid w:val="00680777"/>
    <w:rsid w:val="006855E1"/>
    <w:rsid w:val="00685D8B"/>
    <w:rsid w:val="00686337"/>
    <w:rsid w:val="00686AB4"/>
    <w:rsid w:val="006917D8"/>
    <w:rsid w:val="00693FFC"/>
    <w:rsid w:val="00694A92"/>
    <w:rsid w:val="00694EC9"/>
    <w:rsid w:val="00695CFE"/>
    <w:rsid w:val="00696443"/>
    <w:rsid w:val="006969B2"/>
    <w:rsid w:val="00697091"/>
    <w:rsid w:val="00697393"/>
    <w:rsid w:val="00697CDF"/>
    <w:rsid w:val="006A0912"/>
    <w:rsid w:val="006A0AA7"/>
    <w:rsid w:val="006A1286"/>
    <w:rsid w:val="006A2468"/>
    <w:rsid w:val="006A2547"/>
    <w:rsid w:val="006A418B"/>
    <w:rsid w:val="006A551E"/>
    <w:rsid w:val="006A76B6"/>
    <w:rsid w:val="006A7E1E"/>
    <w:rsid w:val="006B01A5"/>
    <w:rsid w:val="006B0599"/>
    <w:rsid w:val="006B214D"/>
    <w:rsid w:val="006B49FC"/>
    <w:rsid w:val="006B55ED"/>
    <w:rsid w:val="006B57B9"/>
    <w:rsid w:val="006C0DF2"/>
    <w:rsid w:val="006C1BCE"/>
    <w:rsid w:val="006C1EFF"/>
    <w:rsid w:val="006C3274"/>
    <w:rsid w:val="006C4D39"/>
    <w:rsid w:val="006C52BB"/>
    <w:rsid w:val="006C5A3F"/>
    <w:rsid w:val="006C5E75"/>
    <w:rsid w:val="006C5EC3"/>
    <w:rsid w:val="006C6243"/>
    <w:rsid w:val="006C7368"/>
    <w:rsid w:val="006D1415"/>
    <w:rsid w:val="006D3957"/>
    <w:rsid w:val="006D5787"/>
    <w:rsid w:val="006D7E3E"/>
    <w:rsid w:val="006E0606"/>
    <w:rsid w:val="006E0648"/>
    <w:rsid w:val="006E3541"/>
    <w:rsid w:val="006E618D"/>
    <w:rsid w:val="006F1478"/>
    <w:rsid w:val="006F3AFB"/>
    <w:rsid w:val="006F3E9A"/>
    <w:rsid w:val="006F6122"/>
    <w:rsid w:val="006F6C55"/>
    <w:rsid w:val="006F6EFF"/>
    <w:rsid w:val="006F7145"/>
    <w:rsid w:val="006F7487"/>
    <w:rsid w:val="006F7C41"/>
    <w:rsid w:val="007005B7"/>
    <w:rsid w:val="00702646"/>
    <w:rsid w:val="00702C35"/>
    <w:rsid w:val="007032AB"/>
    <w:rsid w:val="00704323"/>
    <w:rsid w:val="007048D8"/>
    <w:rsid w:val="00704EA4"/>
    <w:rsid w:val="00706AE9"/>
    <w:rsid w:val="00706E0A"/>
    <w:rsid w:val="007074F4"/>
    <w:rsid w:val="0071010C"/>
    <w:rsid w:val="00711B8E"/>
    <w:rsid w:val="00712B68"/>
    <w:rsid w:val="00712E0A"/>
    <w:rsid w:val="0071379C"/>
    <w:rsid w:val="00714700"/>
    <w:rsid w:val="0071484C"/>
    <w:rsid w:val="00714A26"/>
    <w:rsid w:val="00715EAF"/>
    <w:rsid w:val="0071614C"/>
    <w:rsid w:val="00717840"/>
    <w:rsid w:val="00722765"/>
    <w:rsid w:val="00722A28"/>
    <w:rsid w:val="00723A37"/>
    <w:rsid w:val="00724DD3"/>
    <w:rsid w:val="00725809"/>
    <w:rsid w:val="007261AF"/>
    <w:rsid w:val="00726929"/>
    <w:rsid w:val="007275F3"/>
    <w:rsid w:val="00732037"/>
    <w:rsid w:val="00733089"/>
    <w:rsid w:val="00733125"/>
    <w:rsid w:val="0073413B"/>
    <w:rsid w:val="007376D7"/>
    <w:rsid w:val="00740C2C"/>
    <w:rsid w:val="00742722"/>
    <w:rsid w:val="00743496"/>
    <w:rsid w:val="00743810"/>
    <w:rsid w:val="00743C13"/>
    <w:rsid w:val="007468EA"/>
    <w:rsid w:val="00750A28"/>
    <w:rsid w:val="00752EE1"/>
    <w:rsid w:val="00753616"/>
    <w:rsid w:val="00754F46"/>
    <w:rsid w:val="0075609E"/>
    <w:rsid w:val="007569B5"/>
    <w:rsid w:val="00761207"/>
    <w:rsid w:val="0076180D"/>
    <w:rsid w:val="00763D13"/>
    <w:rsid w:val="00764694"/>
    <w:rsid w:val="00766618"/>
    <w:rsid w:val="00767B8B"/>
    <w:rsid w:val="00770C87"/>
    <w:rsid w:val="0077117C"/>
    <w:rsid w:val="0077178F"/>
    <w:rsid w:val="00771CF7"/>
    <w:rsid w:val="00772461"/>
    <w:rsid w:val="00774E63"/>
    <w:rsid w:val="007750B5"/>
    <w:rsid w:val="007779BE"/>
    <w:rsid w:val="00777FD8"/>
    <w:rsid w:val="0078096C"/>
    <w:rsid w:val="00782281"/>
    <w:rsid w:val="00782646"/>
    <w:rsid w:val="00784885"/>
    <w:rsid w:val="007850D9"/>
    <w:rsid w:val="00786729"/>
    <w:rsid w:val="0078684B"/>
    <w:rsid w:val="0078728E"/>
    <w:rsid w:val="00787ED7"/>
    <w:rsid w:val="007908B0"/>
    <w:rsid w:val="00790EE1"/>
    <w:rsid w:val="00791FE1"/>
    <w:rsid w:val="00793132"/>
    <w:rsid w:val="00795A6D"/>
    <w:rsid w:val="00795BBD"/>
    <w:rsid w:val="00796157"/>
    <w:rsid w:val="007A07C4"/>
    <w:rsid w:val="007A1988"/>
    <w:rsid w:val="007A19B5"/>
    <w:rsid w:val="007A4005"/>
    <w:rsid w:val="007A5DD7"/>
    <w:rsid w:val="007A7FB8"/>
    <w:rsid w:val="007B1523"/>
    <w:rsid w:val="007B26C9"/>
    <w:rsid w:val="007B32A0"/>
    <w:rsid w:val="007B4379"/>
    <w:rsid w:val="007B52BC"/>
    <w:rsid w:val="007B7B10"/>
    <w:rsid w:val="007C046C"/>
    <w:rsid w:val="007C0D88"/>
    <w:rsid w:val="007C2B87"/>
    <w:rsid w:val="007C6442"/>
    <w:rsid w:val="007C6C90"/>
    <w:rsid w:val="007C723F"/>
    <w:rsid w:val="007D4449"/>
    <w:rsid w:val="007D46AA"/>
    <w:rsid w:val="007D4C65"/>
    <w:rsid w:val="007D5436"/>
    <w:rsid w:val="007D594D"/>
    <w:rsid w:val="007D7054"/>
    <w:rsid w:val="007D7F3E"/>
    <w:rsid w:val="007E003D"/>
    <w:rsid w:val="007E0CC3"/>
    <w:rsid w:val="007E0D1C"/>
    <w:rsid w:val="007E1650"/>
    <w:rsid w:val="007E1AD7"/>
    <w:rsid w:val="007E287A"/>
    <w:rsid w:val="007E3A06"/>
    <w:rsid w:val="007E4AF8"/>
    <w:rsid w:val="007E4ED3"/>
    <w:rsid w:val="007E592B"/>
    <w:rsid w:val="007E5F32"/>
    <w:rsid w:val="007F07C9"/>
    <w:rsid w:val="007F15D2"/>
    <w:rsid w:val="007F33E9"/>
    <w:rsid w:val="007F58B1"/>
    <w:rsid w:val="0080190E"/>
    <w:rsid w:val="00801F0E"/>
    <w:rsid w:val="008020B1"/>
    <w:rsid w:val="0080499F"/>
    <w:rsid w:val="00804CEF"/>
    <w:rsid w:val="008056CC"/>
    <w:rsid w:val="00806D0D"/>
    <w:rsid w:val="0080718E"/>
    <w:rsid w:val="0080793F"/>
    <w:rsid w:val="00810611"/>
    <w:rsid w:val="00810E00"/>
    <w:rsid w:val="00811054"/>
    <w:rsid w:val="00812235"/>
    <w:rsid w:val="008122F6"/>
    <w:rsid w:val="0081288D"/>
    <w:rsid w:val="00814486"/>
    <w:rsid w:val="00815086"/>
    <w:rsid w:val="00815774"/>
    <w:rsid w:val="00820DDF"/>
    <w:rsid w:val="00821537"/>
    <w:rsid w:val="0082198D"/>
    <w:rsid w:val="008236BA"/>
    <w:rsid w:val="0082439E"/>
    <w:rsid w:val="00826B6B"/>
    <w:rsid w:val="00830638"/>
    <w:rsid w:val="008307A5"/>
    <w:rsid w:val="00831124"/>
    <w:rsid w:val="00833C7B"/>
    <w:rsid w:val="00834037"/>
    <w:rsid w:val="00835824"/>
    <w:rsid w:val="00836FF3"/>
    <w:rsid w:val="0084229D"/>
    <w:rsid w:val="00844991"/>
    <w:rsid w:val="00844998"/>
    <w:rsid w:val="008450DD"/>
    <w:rsid w:val="0084623B"/>
    <w:rsid w:val="00846240"/>
    <w:rsid w:val="00847E29"/>
    <w:rsid w:val="00847F63"/>
    <w:rsid w:val="00851215"/>
    <w:rsid w:val="00852B6A"/>
    <w:rsid w:val="0085334C"/>
    <w:rsid w:val="00855C84"/>
    <w:rsid w:val="00857924"/>
    <w:rsid w:val="00857B15"/>
    <w:rsid w:val="0086038C"/>
    <w:rsid w:val="00860DB8"/>
    <w:rsid w:val="008615DC"/>
    <w:rsid w:val="008618F9"/>
    <w:rsid w:val="00864B52"/>
    <w:rsid w:val="00864EE0"/>
    <w:rsid w:val="008650D9"/>
    <w:rsid w:val="0086528B"/>
    <w:rsid w:val="00867BEC"/>
    <w:rsid w:val="008748F4"/>
    <w:rsid w:val="00875B15"/>
    <w:rsid w:val="00876F96"/>
    <w:rsid w:val="008773A9"/>
    <w:rsid w:val="00886535"/>
    <w:rsid w:val="0089065C"/>
    <w:rsid w:val="008912FB"/>
    <w:rsid w:val="0089425F"/>
    <w:rsid w:val="00895E0F"/>
    <w:rsid w:val="00896236"/>
    <w:rsid w:val="0089724A"/>
    <w:rsid w:val="008A05F6"/>
    <w:rsid w:val="008A3753"/>
    <w:rsid w:val="008A3A38"/>
    <w:rsid w:val="008A4AB6"/>
    <w:rsid w:val="008A6E2A"/>
    <w:rsid w:val="008A7466"/>
    <w:rsid w:val="008A7C39"/>
    <w:rsid w:val="008B0808"/>
    <w:rsid w:val="008B13C9"/>
    <w:rsid w:val="008B21CA"/>
    <w:rsid w:val="008B6064"/>
    <w:rsid w:val="008C05E0"/>
    <w:rsid w:val="008C1116"/>
    <w:rsid w:val="008C185A"/>
    <w:rsid w:val="008C3232"/>
    <w:rsid w:val="008C3806"/>
    <w:rsid w:val="008C3CF4"/>
    <w:rsid w:val="008C44B6"/>
    <w:rsid w:val="008C6C35"/>
    <w:rsid w:val="008C6EB8"/>
    <w:rsid w:val="008C792A"/>
    <w:rsid w:val="008D0093"/>
    <w:rsid w:val="008D2259"/>
    <w:rsid w:val="008D38A3"/>
    <w:rsid w:val="008D5F74"/>
    <w:rsid w:val="008D5FF6"/>
    <w:rsid w:val="008D738A"/>
    <w:rsid w:val="008E0713"/>
    <w:rsid w:val="008E53C9"/>
    <w:rsid w:val="008E7AD7"/>
    <w:rsid w:val="008F255C"/>
    <w:rsid w:val="008F4991"/>
    <w:rsid w:val="008F702C"/>
    <w:rsid w:val="008F7D26"/>
    <w:rsid w:val="009003AE"/>
    <w:rsid w:val="00900A0E"/>
    <w:rsid w:val="00900C2C"/>
    <w:rsid w:val="009023E7"/>
    <w:rsid w:val="0090266A"/>
    <w:rsid w:val="0090443A"/>
    <w:rsid w:val="009044B6"/>
    <w:rsid w:val="009071C5"/>
    <w:rsid w:val="00907496"/>
    <w:rsid w:val="00907672"/>
    <w:rsid w:val="0091416B"/>
    <w:rsid w:val="00914C3A"/>
    <w:rsid w:val="00915E4C"/>
    <w:rsid w:val="009174C4"/>
    <w:rsid w:val="00917671"/>
    <w:rsid w:val="009176D3"/>
    <w:rsid w:val="0092055E"/>
    <w:rsid w:val="0092130F"/>
    <w:rsid w:val="0092308C"/>
    <w:rsid w:val="00923B53"/>
    <w:rsid w:val="009241CA"/>
    <w:rsid w:val="00926C89"/>
    <w:rsid w:val="00926CD8"/>
    <w:rsid w:val="0093081C"/>
    <w:rsid w:val="00932774"/>
    <w:rsid w:val="0093352E"/>
    <w:rsid w:val="00933B37"/>
    <w:rsid w:val="009349AA"/>
    <w:rsid w:val="009369B0"/>
    <w:rsid w:val="00936AAD"/>
    <w:rsid w:val="00940E51"/>
    <w:rsid w:val="00940F81"/>
    <w:rsid w:val="00941594"/>
    <w:rsid w:val="0094183A"/>
    <w:rsid w:val="00943047"/>
    <w:rsid w:val="00946131"/>
    <w:rsid w:val="0094785C"/>
    <w:rsid w:val="00952470"/>
    <w:rsid w:val="009524D5"/>
    <w:rsid w:val="00952722"/>
    <w:rsid w:val="00952E23"/>
    <w:rsid w:val="00953C00"/>
    <w:rsid w:val="00953ED7"/>
    <w:rsid w:val="009551C7"/>
    <w:rsid w:val="0095567C"/>
    <w:rsid w:val="00955E45"/>
    <w:rsid w:val="00956036"/>
    <w:rsid w:val="009577B1"/>
    <w:rsid w:val="00960B01"/>
    <w:rsid w:val="0096132C"/>
    <w:rsid w:val="00963959"/>
    <w:rsid w:val="00963B20"/>
    <w:rsid w:val="009661D9"/>
    <w:rsid w:val="00966983"/>
    <w:rsid w:val="009721AE"/>
    <w:rsid w:val="00973597"/>
    <w:rsid w:val="00974FAD"/>
    <w:rsid w:val="00977806"/>
    <w:rsid w:val="009821F8"/>
    <w:rsid w:val="00982A7D"/>
    <w:rsid w:val="00984704"/>
    <w:rsid w:val="00985202"/>
    <w:rsid w:val="00985C27"/>
    <w:rsid w:val="00986765"/>
    <w:rsid w:val="0098718A"/>
    <w:rsid w:val="009875F8"/>
    <w:rsid w:val="0098761B"/>
    <w:rsid w:val="00987BF1"/>
    <w:rsid w:val="009905DD"/>
    <w:rsid w:val="00990F84"/>
    <w:rsid w:val="00991312"/>
    <w:rsid w:val="009913B9"/>
    <w:rsid w:val="00993F5D"/>
    <w:rsid w:val="00994F47"/>
    <w:rsid w:val="00995A34"/>
    <w:rsid w:val="009961A4"/>
    <w:rsid w:val="00996557"/>
    <w:rsid w:val="00997268"/>
    <w:rsid w:val="00997A01"/>
    <w:rsid w:val="009A24A9"/>
    <w:rsid w:val="009A2711"/>
    <w:rsid w:val="009A4121"/>
    <w:rsid w:val="009A7C44"/>
    <w:rsid w:val="009B12B2"/>
    <w:rsid w:val="009B36AB"/>
    <w:rsid w:val="009B4582"/>
    <w:rsid w:val="009B4899"/>
    <w:rsid w:val="009B626E"/>
    <w:rsid w:val="009B76DD"/>
    <w:rsid w:val="009C0612"/>
    <w:rsid w:val="009C33FB"/>
    <w:rsid w:val="009C6806"/>
    <w:rsid w:val="009C711B"/>
    <w:rsid w:val="009C72EC"/>
    <w:rsid w:val="009C74FA"/>
    <w:rsid w:val="009C79AA"/>
    <w:rsid w:val="009C7FD9"/>
    <w:rsid w:val="009D35D6"/>
    <w:rsid w:val="009D3ED4"/>
    <w:rsid w:val="009D4069"/>
    <w:rsid w:val="009D4303"/>
    <w:rsid w:val="009D4C43"/>
    <w:rsid w:val="009D556F"/>
    <w:rsid w:val="009D5C94"/>
    <w:rsid w:val="009D74A2"/>
    <w:rsid w:val="009E0832"/>
    <w:rsid w:val="009E2CEB"/>
    <w:rsid w:val="009E3131"/>
    <w:rsid w:val="009E41A9"/>
    <w:rsid w:val="009E6E31"/>
    <w:rsid w:val="009F1E00"/>
    <w:rsid w:val="009F228B"/>
    <w:rsid w:val="009F275D"/>
    <w:rsid w:val="009F2E62"/>
    <w:rsid w:val="009F4622"/>
    <w:rsid w:val="009F4B75"/>
    <w:rsid w:val="009F769C"/>
    <w:rsid w:val="009F783E"/>
    <w:rsid w:val="009F79E1"/>
    <w:rsid w:val="00A012DB"/>
    <w:rsid w:val="00A017BE"/>
    <w:rsid w:val="00A02857"/>
    <w:rsid w:val="00A030AC"/>
    <w:rsid w:val="00A05316"/>
    <w:rsid w:val="00A06D53"/>
    <w:rsid w:val="00A06F28"/>
    <w:rsid w:val="00A07094"/>
    <w:rsid w:val="00A1354A"/>
    <w:rsid w:val="00A14000"/>
    <w:rsid w:val="00A146E4"/>
    <w:rsid w:val="00A14F60"/>
    <w:rsid w:val="00A1569C"/>
    <w:rsid w:val="00A1657E"/>
    <w:rsid w:val="00A16C03"/>
    <w:rsid w:val="00A175CD"/>
    <w:rsid w:val="00A20136"/>
    <w:rsid w:val="00A20680"/>
    <w:rsid w:val="00A212A7"/>
    <w:rsid w:val="00A220E7"/>
    <w:rsid w:val="00A227F7"/>
    <w:rsid w:val="00A241C1"/>
    <w:rsid w:val="00A2505A"/>
    <w:rsid w:val="00A263BD"/>
    <w:rsid w:val="00A263FE"/>
    <w:rsid w:val="00A30FAD"/>
    <w:rsid w:val="00A32D1E"/>
    <w:rsid w:val="00A33F07"/>
    <w:rsid w:val="00A34B90"/>
    <w:rsid w:val="00A35DDA"/>
    <w:rsid w:val="00A36E05"/>
    <w:rsid w:val="00A37377"/>
    <w:rsid w:val="00A374E2"/>
    <w:rsid w:val="00A37625"/>
    <w:rsid w:val="00A378E8"/>
    <w:rsid w:val="00A41351"/>
    <w:rsid w:val="00A418BF"/>
    <w:rsid w:val="00A46000"/>
    <w:rsid w:val="00A5040F"/>
    <w:rsid w:val="00A541AC"/>
    <w:rsid w:val="00A5435D"/>
    <w:rsid w:val="00A54847"/>
    <w:rsid w:val="00A5657C"/>
    <w:rsid w:val="00A5751F"/>
    <w:rsid w:val="00A57C88"/>
    <w:rsid w:val="00A601D1"/>
    <w:rsid w:val="00A60ED5"/>
    <w:rsid w:val="00A6129A"/>
    <w:rsid w:val="00A619A3"/>
    <w:rsid w:val="00A644B1"/>
    <w:rsid w:val="00A654AA"/>
    <w:rsid w:val="00A66A01"/>
    <w:rsid w:val="00A70D39"/>
    <w:rsid w:val="00A718CA"/>
    <w:rsid w:val="00A73C98"/>
    <w:rsid w:val="00A73E12"/>
    <w:rsid w:val="00A74E35"/>
    <w:rsid w:val="00A757B0"/>
    <w:rsid w:val="00A75CE3"/>
    <w:rsid w:val="00A773AA"/>
    <w:rsid w:val="00A77966"/>
    <w:rsid w:val="00A8182E"/>
    <w:rsid w:val="00A82483"/>
    <w:rsid w:val="00A83648"/>
    <w:rsid w:val="00A84223"/>
    <w:rsid w:val="00A84251"/>
    <w:rsid w:val="00A84952"/>
    <w:rsid w:val="00A84F68"/>
    <w:rsid w:val="00A8595F"/>
    <w:rsid w:val="00A862F8"/>
    <w:rsid w:val="00A86967"/>
    <w:rsid w:val="00A86E7E"/>
    <w:rsid w:val="00A905F7"/>
    <w:rsid w:val="00A91E01"/>
    <w:rsid w:val="00A95234"/>
    <w:rsid w:val="00A95E45"/>
    <w:rsid w:val="00A96833"/>
    <w:rsid w:val="00A96D1D"/>
    <w:rsid w:val="00AA141C"/>
    <w:rsid w:val="00AA2552"/>
    <w:rsid w:val="00AA2EA6"/>
    <w:rsid w:val="00AA4C14"/>
    <w:rsid w:val="00AA5151"/>
    <w:rsid w:val="00AA5B4A"/>
    <w:rsid w:val="00AA6E72"/>
    <w:rsid w:val="00AB0B51"/>
    <w:rsid w:val="00AB1884"/>
    <w:rsid w:val="00AB194C"/>
    <w:rsid w:val="00AB2653"/>
    <w:rsid w:val="00AB2714"/>
    <w:rsid w:val="00AB3CA2"/>
    <w:rsid w:val="00AB46C6"/>
    <w:rsid w:val="00AB7038"/>
    <w:rsid w:val="00AB7245"/>
    <w:rsid w:val="00AC09E4"/>
    <w:rsid w:val="00AC113E"/>
    <w:rsid w:val="00AC11A0"/>
    <w:rsid w:val="00AC1CD8"/>
    <w:rsid w:val="00AC1FD7"/>
    <w:rsid w:val="00AC232C"/>
    <w:rsid w:val="00AC2F5C"/>
    <w:rsid w:val="00AC3FA6"/>
    <w:rsid w:val="00AC4528"/>
    <w:rsid w:val="00AC5595"/>
    <w:rsid w:val="00AC657B"/>
    <w:rsid w:val="00AC65D6"/>
    <w:rsid w:val="00AC693C"/>
    <w:rsid w:val="00AC7417"/>
    <w:rsid w:val="00AD000D"/>
    <w:rsid w:val="00AD5EBF"/>
    <w:rsid w:val="00AD79E6"/>
    <w:rsid w:val="00AE1EEE"/>
    <w:rsid w:val="00AE3829"/>
    <w:rsid w:val="00AE3AFF"/>
    <w:rsid w:val="00AE4738"/>
    <w:rsid w:val="00AE4D19"/>
    <w:rsid w:val="00AE6A34"/>
    <w:rsid w:val="00AE6D57"/>
    <w:rsid w:val="00AE7594"/>
    <w:rsid w:val="00AF204B"/>
    <w:rsid w:val="00AF2E1B"/>
    <w:rsid w:val="00AF31DC"/>
    <w:rsid w:val="00AF4D26"/>
    <w:rsid w:val="00B01362"/>
    <w:rsid w:val="00B01374"/>
    <w:rsid w:val="00B04ABF"/>
    <w:rsid w:val="00B0521D"/>
    <w:rsid w:val="00B05E0B"/>
    <w:rsid w:val="00B06D4A"/>
    <w:rsid w:val="00B07415"/>
    <w:rsid w:val="00B10505"/>
    <w:rsid w:val="00B1054E"/>
    <w:rsid w:val="00B107B3"/>
    <w:rsid w:val="00B20B83"/>
    <w:rsid w:val="00B23988"/>
    <w:rsid w:val="00B24791"/>
    <w:rsid w:val="00B2689B"/>
    <w:rsid w:val="00B312D8"/>
    <w:rsid w:val="00B32160"/>
    <w:rsid w:val="00B32884"/>
    <w:rsid w:val="00B34546"/>
    <w:rsid w:val="00B35A10"/>
    <w:rsid w:val="00B3622F"/>
    <w:rsid w:val="00B36464"/>
    <w:rsid w:val="00B37D98"/>
    <w:rsid w:val="00B40967"/>
    <w:rsid w:val="00B42215"/>
    <w:rsid w:val="00B435C9"/>
    <w:rsid w:val="00B43CD4"/>
    <w:rsid w:val="00B44679"/>
    <w:rsid w:val="00B446F3"/>
    <w:rsid w:val="00B4497B"/>
    <w:rsid w:val="00B44FA2"/>
    <w:rsid w:val="00B4779A"/>
    <w:rsid w:val="00B477D1"/>
    <w:rsid w:val="00B5066B"/>
    <w:rsid w:val="00B51D8B"/>
    <w:rsid w:val="00B53601"/>
    <w:rsid w:val="00B54264"/>
    <w:rsid w:val="00B54919"/>
    <w:rsid w:val="00B54AC5"/>
    <w:rsid w:val="00B54F42"/>
    <w:rsid w:val="00B552A9"/>
    <w:rsid w:val="00B55397"/>
    <w:rsid w:val="00B56E76"/>
    <w:rsid w:val="00B57B51"/>
    <w:rsid w:val="00B57E6B"/>
    <w:rsid w:val="00B6030F"/>
    <w:rsid w:val="00B609DA"/>
    <w:rsid w:val="00B618D7"/>
    <w:rsid w:val="00B62D08"/>
    <w:rsid w:val="00B6544A"/>
    <w:rsid w:val="00B66BC4"/>
    <w:rsid w:val="00B67C23"/>
    <w:rsid w:val="00B700BE"/>
    <w:rsid w:val="00B716F6"/>
    <w:rsid w:val="00B7266B"/>
    <w:rsid w:val="00B72B96"/>
    <w:rsid w:val="00B72C43"/>
    <w:rsid w:val="00B7352E"/>
    <w:rsid w:val="00B73FC4"/>
    <w:rsid w:val="00B74451"/>
    <w:rsid w:val="00B74E86"/>
    <w:rsid w:val="00B760D8"/>
    <w:rsid w:val="00B76A99"/>
    <w:rsid w:val="00B76F2F"/>
    <w:rsid w:val="00B809FC"/>
    <w:rsid w:val="00B81B8B"/>
    <w:rsid w:val="00B82411"/>
    <w:rsid w:val="00B8361D"/>
    <w:rsid w:val="00B84797"/>
    <w:rsid w:val="00B86C01"/>
    <w:rsid w:val="00B86F4F"/>
    <w:rsid w:val="00B871B5"/>
    <w:rsid w:val="00B922B5"/>
    <w:rsid w:val="00B93518"/>
    <w:rsid w:val="00B9404B"/>
    <w:rsid w:val="00B9470F"/>
    <w:rsid w:val="00B9554E"/>
    <w:rsid w:val="00B96589"/>
    <w:rsid w:val="00B976B8"/>
    <w:rsid w:val="00BA44DE"/>
    <w:rsid w:val="00BA6370"/>
    <w:rsid w:val="00BA705A"/>
    <w:rsid w:val="00BA7BCA"/>
    <w:rsid w:val="00BB4059"/>
    <w:rsid w:val="00BB44F4"/>
    <w:rsid w:val="00BB4CBA"/>
    <w:rsid w:val="00BB7A05"/>
    <w:rsid w:val="00BC0929"/>
    <w:rsid w:val="00BC1345"/>
    <w:rsid w:val="00BC2979"/>
    <w:rsid w:val="00BC3405"/>
    <w:rsid w:val="00BC3533"/>
    <w:rsid w:val="00BC407F"/>
    <w:rsid w:val="00BC61A9"/>
    <w:rsid w:val="00BC7EBD"/>
    <w:rsid w:val="00BD00E3"/>
    <w:rsid w:val="00BD14EC"/>
    <w:rsid w:val="00BD3064"/>
    <w:rsid w:val="00BD6D83"/>
    <w:rsid w:val="00BE19C8"/>
    <w:rsid w:val="00BE745D"/>
    <w:rsid w:val="00BF0102"/>
    <w:rsid w:val="00BF018E"/>
    <w:rsid w:val="00BF594F"/>
    <w:rsid w:val="00BF6A68"/>
    <w:rsid w:val="00C00284"/>
    <w:rsid w:val="00C025FC"/>
    <w:rsid w:val="00C033D8"/>
    <w:rsid w:val="00C037AE"/>
    <w:rsid w:val="00C03D9F"/>
    <w:rsid w:val="00C04E6D"/>
    <w:rsid w:val="00C050DA"/>
    <w:rsid w:val="00C11F8C"/>
    <w:rsid w:val="00C12E9A"/>
    <w:rsid w:val="00C13D45"/>
    <w:rsid w:val="00C151B9"/>
    <w:rsid w:val="00C17079"/>
    <w:rsid w:val="00C17311"/>
    <w:rsid w:val="00C174AA"/>
    <w:rsid w:val="00C21576"/>
    <w:rsid w:val="00C21B54"/>
    <w:rsid w:val="00C21FB2"/>
    <w:rsid w:val="00C22A67"/>
    <w:rsid w:val="00C278D6"/>
    <w:rsid w:val="00C317A8"/>
    <w:rsid w:val="00C332F2"/>
    <w:rsid w:val="00C3357D"/>
    <w:rsid w:val="00C35689"/>
    <w:rsid w:val="00C40811"/>
    <w:rsid w:val="00C40872"/>
    <w:rsid w:val="00C43951"/>
    <w:rsid w:val="00C439D7"/>
    <w:rsid w:val="00C44446"/>
    <w:rsid w:val="00C447EC"/>
    <w:rsid w:val="00C44ED2"/>
    <w:rsid w:val="00C4542F"/>
    <w:rsid w:val="00C46B31"/>
    <w:rsid w:val="00C50CCC"/>
    <w:rsid w:val="00C541F6"/>
    <w:rsid w:val="00C55D22"/>
    <w:rsid w:val="00C55F7C"/>
    <w:rsid w:val="00C5693E"/>
    <w:rsid w:val="00C65031"/>
    <w:rsid w:val="00C658D7"/>
    <w:rsid w:val="00C65F5B"/>
    <w:rsid w:val="00C66190"/>
    <w:rsid w:val="00C674F7"/>
    <w:rsid w:val="00C71F35"/>
    <w:rsid w:val="00C72BC3"/>
    <w:rsid w:val="00C72F9B"/>
    <w:rsid w:val="00C73148"/>
    <w:rsid w:val="00C7484A"/>
    <w:rsid w:val="00C7596C"/>
    <w:rsid w:val="00C75AC8"/>
    <w:rsid w:val="00C75CE5"/>
    <w:rsid w:val="00C76477"/>
    <w:rsid w:val="00C805F1"/>
    <w:rsid w:val="00C80D13"/>
    <w:rsid w:val="00C8248C"/>
    <w:rsid w:val="00C849A2"/>
    <w:rsid w:val="00C86321"/>
    <w:rsid w:val="00C865A5"/>
    <w:rsid w:val="00C92295"/>
    <w:rsid w:val="00C92754"/>
    <w:rsid w:val="00C92D12"/>
    <w:rsid w:val="00C92F67"/>
    <w:rsid w:val="00C96DA6"/>
    <w:rsid w:val="00CA08A3"/>
    <w:rsid w:val="00CA0A71"/>
    <w:rsid w:val="00CA5213"/>
    <w:rsid w:val="00CA62E7"/>
    <w:rsid w:val="00CB16D8"/>
    <w:rsid w:val="00CB2E5F"/>
    <w:rsid w:val="00CB314D"/>
    <w:rsid w:val="00CB378E"/>
    <w:rsid w:val="00CC0584"/>
    <w:rsid w:val="00CC3AF9"/>
    <w:rsid w:val="00CC4526"/>
    <w:rsid w:val="00CC69DB"/>
    <w:rsid w:val="00CC7A14"/>
    <w:rsid w:val="00CD0677"/>
    <w:rsid w:val="00CD5B1E"/>
    <w:rsid w:val="00CD7C00"/>
    <w:rsid w:val="00CE1612"/>
    <w:rsid w:val="00CE1F3D"/>
    <w:rsid w:val="00CE221D"/>
    <w:rsid w:val="00CE2F88"/>
    <w:rsid w:val="00CE344D"/>
    <w:rsid w:val="00CE349A"/>
    <w:rsid w:val="00CE4372"/>
    <w:rsid w:val="00CE553B"/>
    <w:rsid w:val="00CE6BC6"/>
    <w:rsid w:val="00CE6DB1"/>
    <w:rsid w:val="00CE79BE"/>
    <w:rsid w:val="00CF0944"/>
    <w:rsid w:val="00CF3E5E"/>
    <w:rsid w:val="00CF5203"/>
    <w:rsid w:val="00CF7A9D"/>
    <w:rsid w:val="00D002A9"/>
    <w:rsid w:val="00D012F7"/>
    <w:rsid w:val="00D01EEE"/>
    <w:rsid w:val="00D02A82"/>
    <w:rsid w:val="00D03BE4"/>
    <w:rsid w:val="00D056E3"/>
    <w:rsid w:val="00D1162A"/>
    <w:rsid w:val="00D1168D"/>
    <w:rsid w:val="00D12DC1"/>
    <w:rsid w:val="00D17564"/>
    <w:rsid w:val="00D20A07"/>
    <w:rsid w:val="00D20DEE"/>
    <w:rsid w:val="00D20FF1"/>
    <w:rsid w:val="00D21741"/>
    <w:rsid w:val="00D25D6A"/>
    <w:rsid w:val="00D261EA"/>
    <w:rsid w:val="00D313E9"/>
    <w:rsid w:val="00D32303"/>
    <w:rsid w:val="00D3462B"/>
    <w:rsid w:val="00D3490A"/>
    <w:rsid w:val="00D358D1"/>
    <w:rsid w:val="00D373F7"/>
    <w:rsid w:val="00D3787B"/>
    <w:rsid w:val="00D44A44"/>
    <w:rsid w:val="00D465A7"/>
    <w:rsid w:val="00D46DC2"/>
    <w:rsid w:val="00D470F0"/>
    <w:rsid w:val="00D50094"/>
    <w:rsid w:val="00D50595"/>
    <w:rsid w:val="00D51F2D"/>
    <w:rsid w:val="00D51F4A"/>
    <w:rsid w:val="00D55C8E"/>
    <w:rsid w:val="00D56484"/>
    <w:rsid w:val="00D579C0"/>
    <w:rsid w:val="00D61142"/>
    <w:rsid w:val="00D628EB"/>
    <w:rsid w:val="00D63486"/>
    <w:rsid w:val="00D634C5"/>
    <w:rsid w:val="00D65412"/>
    <w:rsid w:val="00D672B7"/>
    <w:rsid w:val="00D70EEB"/>
    <w:rsid w:val="00D73D59"/>
    <w:rsid w:val="00D75FC8"/>
    <w:rsid w:val="00D7624F"/>
    <w:rsid w:val="00D762DB"/>
    <w:rsid w:val="00D77427"/>
    <w:rsid w:val="00D807A0"/>
    <w:rsid w:val="00D818A2"/>
    <w:rsid w:val="00D82273"/>
    <w:rsid w:val="00D8261E"/>
    <w:rsid w:val="00D85CE3"/>
    <w:rsid w:val="00D87CE4"/>
    <w:rsid w:val="00D87D88"/>
    <w:rsid w:val="00D908A5"/>
    <w:rsid w:val="00D93B33"/>
    <w:rsid w:val="00DA19DA"/>
    <w:rsid w:val="00DA283B"/>
    <w:rsid w:val="00DA3655"/>
    <w:rsid w:val="00DA4D24"/>
    <w:rsid w:val="00DA7600"/>
    <w:rsid w:val="00DB0A38"/>
    <w:rsid w:val="00DB1B83"/>
    <w:rsid w:val="00DB20F4"/>
    <w:rsid w:val="00DB49C6"/>
    <w:rsid w:val="00DB4CB1"/>
    <w:rsid w:val="00DB7983"/>
    <w:rsid w:val="00DC0F4A"/>
    <w:rsid w:val="00DC316D"/>
    <w:rsid w:val="00DC351F"/>
    <w:rsid w:val="00DC6470"/>
    <w:rsid w:val="00DD0FB2"/>
    <w:rsid w:val="00DD3516"/>
    <w:rsid w:val="00DD4DFA"/>
    <w:rsid w:val="00DD5FF5"/>
    <w:rsid w:val="00DD7127"/>
    <w:rsid w:val="00DD71AA"/>
    <w:rsid w:val="00DD7AAF"/>
    <w:rsid w:val="00DE087F"/>
    <w:rsid w:val="00DE1D75"/>
    <w:rsid w:val="00DE2181"/>
    <w:rsid w:val="00DE2E67"/>
    <w:rsid w:val="00DE3B41"/>
    <w:rsid w:val="00DF18BF"/>
    <w:rsid w:val="00DF1B39"/>
    <w:rsid w:val="00DF4FB1"/>
    <w:rsid w:val="00E0107C"/>
    <w:rsid w:val="00E02A94"/>
    <w:rsid w:val="00E0428A"/>
    <w:rsid w:val="00E05297"/>
    <w:rsid w:val="00E05682"/>
    <w:rsid w:val="00E05DF7"/>
    <w:rsid w:val="00E05FA7"/>
    <w:rsid w:val="00E063A7"/>
    <w:rsid w:val="00E07458"/>
    <w:rsid w:val="00E07EB1"/>
    <w:rsid w:val="00E10C18"/>
    <w:rsid w:val="00E11AD7"/>
    <w:rsid w:val="00E12CB5"/>
    <w:rsid w:val="00E163CD"/>
    <w:rsid w:val="00E17AE6"/>
    <w:rsid w:val="00E17F04"/>
    <w:rsid w:val="00E20CA2"/>
    <w:rsid w:val="00E27DB5"/>
    <w:rsid w:val="00E30197"/>
    <w:rsid w:val="00E30A0A"/>
    <w:rsid w:val="00E30CA1"/>
    <w:rsid w:val="00E318BC"/>
    <w:rsid w:val="00E34484"/>
    <w:rsid w:val="00E34686"/>
    <w:rsid w:val="00E35B49"/>
    <w:rsid w:val="00E35FDC"/>
    <w:rsid w:val="00E360FF"/>
    <w:rsid w:val="00E3685F"/>
    <w:rsid w:val="00E36A80"/>
    <w:rsid w:val="00E40B24"/>
    <w:rsid w:val="00E433D6"/>
    <w:rsid w:val="00E44B41"/>
    <w:rsid w:val="00E46213"/>
    <w:rsid w:val="00E46A15"/>
    <w:rsid w:val="00E46FDA"/>
    <w:rsid w:val="00E50008"/>
    <w:rsid w:val="00E50E94"/>
    <w:rsid w:val="00E50FCD"/>
    <w:rsid w:val="00E5154E"/>
    <w:rsid w:val="00E5280B"/>
    <w:rsid w:val="00E52EE9"/>
    <w:rsid w:val="00E53350"/>
    <w:rsid w:val="00E553BC"/>
    <w:rsid w:val="00E562FE"/>
    <w:rsid w:val="00E60175"/>
    <w:rsid w:val="00E6283A"/>
    <w:rsid w:val="00E6430A"/>
    <w:rsid w:val="00E66614"/>
    <w:rsid w:val="00E669FE"/>
    <w:rsid w:val="00E66D55"/>
    <w:rsid w:val="00E671C0"/>
    <w:rsid w:val="00E67AF5"/>
    <w:rsid w:val="00E74EDD"/>
    <w:rsid w:val="00E75384"/>
    <w:rsid w:val="00E759BE"/>
    <w:rsid w:val="00E81DBB"/>
    <w:rsid w:val="00E8252B"/>
    <w:rsid w:val="00E83516"/>
    <w:rsid w:val="00E8487E"/>
    <w:rsid w:val="00E84A10"/>
    <w:rsid w:val="00E86FD5"/>
    <w:rsid w:val="00E87105"/>
    <w:rsid w:val="00E87AC0"/>
    <w:rsid w:val="00E91853"/>
    <w:rsid w:val="00E91ECD"/>
    <w:rsid w:val="00E93F18"/>
    <w:rsid w:val="00E95293"/>
    <w:rsid w:val="00E95DBB"/>
    <w:rsid w:val="00EA0ADE"/>
    <w:rsid w:val="00EA15BB"/>
    <w:rsid w:val="00EA17A1"/>
    <w:rsid w:val="00EA3837"/>
    <w:rsid w:val="00EA40DA"/>
    <w:rsid w:val="00EA4443"/>
    <w:rsid w:val="00EA4AE8"/>
    <w:rsid w:val="00EB0889"/>
    <w:rsid w:val="00EB0FBA"/>
    <w:rsid w:val="00EB1BB5"/>
    <w:rsid w:val="00EB3893"/>
    <w:rsid w:val="00EB43B8"/>
    <w:rsid w:val="00EB572C"/>
    <w:rsid w:val="00EB582D"/>
    <w:rsid w:val="00EB5A5F"/>
    <w:rsid w:val="00EB67DF"/>
    <w:rsid w:val="00EB6E45"/>
    <w:rsid w:val="00EB7553"/>
    <w:rsid w:val="00EB7C7F"/>
    <w:rsid w:val="00EC05D3"/>
    <w:rsid w:val="00EC2477"/>
    <w:rsid w:val="00EC3048"/>
    <w:rsid w:val="00EC32F5"/>
    <w:rsid w:val="00EC484D"/>
    <w:rsid w:val="00EC6F2C"/>
    <w:rsid w:val="00EC7340"/>
    <w:rsid w:val="00EC7E79"/>
    <w:rsid w:val="00ED04A5"/>
    <w:rsid w:val="00ED4482"/>
    <w:rsid w:val="00ED546C"/>
    <w:rsid w:val="00EE134D"/>
    <w:rsid w:val="00EE17A6"/>
    <w:rsid w:val="00EE28C6"/>
    <w:rsid w:val="00EE44F1"/>
    <w:rsid w:val="00EE5855"/>
    <w:rsid w:val="00EE72F9"/>
    <w:rsid w:val="00EE7707"/>
    <w:rsid w:val="00EE775F"/>
    <w:rsid w:val="00EE7A09"/>
    <w:rsid w:val="00EF0341"/>
    <w:rsid w:val="00EF0E64"/>
    <w:rsid w:val="00EF3B3D"/>
    <w:rsid w:val="00EF5815"/>
    <w:rsid w:val="00EF6F38"/>
    <w:rsid w:val="00F00261"/>
    <w:rsid w:val="00F0046F"/>
    <w:rsid w:val="00F01F6E"/>
    <w:rsid w:val="00F03D59"/>
    <w:rsid w:val="00F0444D"/>
    <w:rsid w:val="00F04497"/>
    <w:rsid w:val="00F050DE"/>
    <w:rsid w:val="00F06EAA"/>
    <w:rsid w:val="00F06FD9"/>
    <w:rsid w:val="00F10FE8"/>
    <w:rsid w:val="00F14C12"/>
    <w:rsid w:val="00F16430"/>
    <w:rsid w:val="00F16606"/>
    <w:rsid w:val="00F1672C"/>
    <w:rsid w:val="00F17FAA"/>
    <w:rsid w:val="00F24498"/>
    <w:rsid w:val="00F25806"/>
    <w:rsid w:val="00F25AE8"/>
    <w:rsid w:val="00F27D22"/>
    <w:rsid w:val="00F30A8C"/>
    <w:rsid w:val="00F30EBA"/>
    <w:rsid w:val="00F314A9"/>
    <w:rsid w:val="00F322BD"/>
    <w:rsid w:val="00F345C8"/>
    <w:rsid w:val="00F34874"/>
    <w:rsid w:val="00F35980"/>
    <w:rsid w:val="00F40C9D"/>
    <w:rsid w:val="00F43E5C"/>
    <w:rsid w:val="00F4571F"/>
    <w:rsid w:val="00F459A8"/>
    <w:rsid w:val="00F53A07"/>
    <w:rsid w:val="00F53C0D"/>
    <w:rsid w:val="00F543CD"/>
    <w:rsid w:val="00F544AE"/>
    <w:rsid w:val="00F545EA"/>
    <w:rsid w:val="00F55A7C"/>
    <w:rsid w:val="00F55BFF"/>
    <w:rsid w:val="00F56646"/>
    <w:rsid w:val="00F56AB6"/>
    <w:rsid w:val="00F646EA"/>
    <w:rsid w:val="00F65455"/>
    <w:rsid w:val="00F71328"/>
    <w:rsid w:val="00F76AA5"/>
    <w:rsid w:val="00F804E3"/>
    <w:rsid w:val="00F81C62"/>
    <w:rsid w:val="00F829CF"/>
    <w:rsid w:val="00F837C6"/>
    <w:rsid w:val="00F85F2E"/>
    <w:rsid w:val="00F908FA"/>
    <w:rsid w:val="00F9155A"/>
    <w:rsid w:val="00F9157C"/>
    <w:rsid w:val="00F94782"/>
    <w:rsid w:val="00F94E3C"/>
    <w:rsid w:val="00F96A14"/>
    <w:rsid w:val="00F9719E"/>
    <w:rsid w:val="00F97929"/>
    <w:rsid w:val="00FA1922"/>
    <w:rsid w:val="00FA2571"/>
    <w:rsid w:val="00FA3AAF"/>
    <w:rsid w:val="00FA4F56"/>
    <w:rsid w:val="00FA702F"/>
    <w:rsid w:val="00FA7083"/>
    <w:rsid w:val="00FB0E88"/>
    <w:rsid w:val="00FB1D34"/>
    <w:rsid w:val="00FB2800"/>
    <w:rsid w:val="00FB4628"/>
    <w:rsid w:val="00FB478F"/>
    <w:rsid w:val="00FB7F70"/>
    <w:rsid w:val="00FC15DA"/>
    <w:rsid w:val="00FC40AC"/>
    <w:rsid w:val="00FC4D82"/>
    <w:rsid w:val="00FC4FAA"/>
    <w:rsid w:val="00FD0885"/>
    <w:rsid w:val="00FD09E7"/>
    <w:rsid w:val="00FD0D96"/>
    <w:rsid w:val="00FD1613"/>
    <w:rsid w:val="00FD32EB"/>
    <w:rsid w:val="00FD3AE9"/>
    <w:rsid w:val="00FD3FF5"/>
    <w:rsid w:val="00FD4790"/>
    <w:rsid w:val="00FD7AC0"/>
    <w:rsid w:val="00FD7E13"/>
    <w:rsid w:val="00FE158D"/>
    <w:rsid w:val="00FE2128"/>
    <w:rsid w:val="00FE26DB"/>
    <w:rsid w:val="00FE3AD2"/>
    <w:rsid w:val="00FE3D0B"/>
    <w:rsid w:val="00FE4482"/>
    <w:rsid w:val="00FE5400"/>
    <w:rsid w:val="00FE6BAD"/>
    <w:rsid w:val="00FF03BC"/>
    <w:rsid w:val="00FF2935"/>
    <w:rsid w:val="00FF3486"/>
    <w:rsid w:val="00FF4FD4"/>
    <w:rsid w:val="00FF6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6593"/>
    <o:shapelayout v:ext="edit">
      <o:idmap v:ext="edit" data="1"/>
    </o:shapelayout>
  </w:shapeDefaults>
  <w:decimalSymbol w:val=","/>
  <w:listSeparator w:val=";"/>
  <w14:docId w14:val="5268AF19"/>
  <w15:docId w15:val="{89572881-2D05-44AE-B795-3FC5B742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har"/>
    <w:uiPriority w:val="99"/>
    <w:qFormat/>
    <w:pPr>
      <w:keepNext/>
      <w:widowControl w:val="0"/>
      <w:outlineLvl w:val="0"/>
    </w:pPr>
    <w:rPr>
      <w:rFonts w:eastAsia="Arial Unicode MS" w:cs="Times New Roman"/>
      <w:b/>
      <w:bCs/>
      <w:sz w:val="18"/>
      <w:szCs w:val="18"/>
    </w:rPr>
  </w:style>
  <w:style w:type="paragraph" w:styleId="Ttulo2">
    <w:name w:val="heading 2"/>
    <w:basedOn w:val="Normal"/>
    <w:next w:val="Normal"/>
    <w:link w:val="Ttulo2Char"/>
    <w:uiPriority w:val="99"/>
    <w:qFormat/>
    <w:pPr>
      <w:keepNext/>
      <w:widowControl w:val="0"/>
      <w:outlineLvl w:val="1"/>
    </w:pPr>
    <w:rPr>
      <w:rFonts w:eastAsia="Arial Unicode MS" w:cs="Times New Roman"/>
      <w:b/>
      <w:bCs/>
      <w:sz w:val="20"/>
      <w:szCs w:val="20"/>
    </w:rPr>
  </w:style>
  <w:style w:type="paragraph" w:styleId="Ttulo3">
    <w:name w:val="heading 3"/>
    <w:basedOn w:val="Normal"/>
    <w:next w:val="Normal"/>
    <w:link w:val="Ttulo3Char"/>
    <w:uiPriority w:val="99"/>
    <w:qFormat/>
    <w:pPr>
      <w:keepNext/>
      <w:jc w:val="both"/>
      <w:outlineLvl w:val="2"/>
    </w:pPr>
    <w:rPr>
      <w:rFonts w:eastAsia="Arial Unicode MS" w:cs="Times New Roman"/>
      <w:b/>
      <w:bCs/>
    </w:rPr>
  </w:style>
  <w:style w:type="paragraph" w:styleId="Ttulo4">
    <w:name w:val="heading 4"/>
    <w:basedOn w:val="Normal"/>
    <w:next w:val="Normal"/>
    <w:link w:val="Ttulo4Char"/>
    <w:uiPriority w:val="99"/>
    <w:qFormat/>
    <w:pPr>
      <w:keepNext/>
      <w:jc w:val="center"/>
      <w:outlineLvl w:val="3"/>
    </w:pPr>
    <w:rPr>
      <w:rFonts w:eastAsia="Arial Unicode MS" w:cs="Times New Roman"/>
      <w:b/>
      <w:bCs/>
    </w:rPr>
  </w:style>
  <w:style w:type="paragraph" w:styleId="Ttulo5">
    <w:name w:val="heading 5"/>
    <w:basedOn w:val="Normal"/>
    <w:next w:val="Normal"/>
    <w:link w:val="Ttulo5Char"/>
    <w:uiPriority w:val="9"/>
    <w:qFormat/>
    <w:pPr>
      <w:keepNext/>
      <w:jc w:val="both"/>
      <w:outlineLvl w:val="4"/>
    </w:pPr>
    <w:rPr>
      <w:rFonts w:eastAsia="Arial Unicode MS" w:cs="Times New Roman"/>
      <w:b/>
      <w:bCs/>
      <w:sz w:val="22"/>
      <w:szCs w:val="22"/>
    </w:rPr>
  </w:style>
  <w:style w:type="paragraph" w:styleId="Ttulo6">
    <w:name w:val="heading 6"/>
    <w:basedOn w:val="Normal"/>
    <w:next w:val="Normal"/>
    <w:link w:val="Ttulo6Char"/>
    <w:uiPriority w:val="99"/>
    <w:qFormat/>
    <w:pPr>
      <w:keepNext/>
      <w:ind w:left="426"/>
      <w:jc w:val="both"/>
      <w:outlineLvl w:val="5"/>
    </w:pPr>
    <w:rPr>
      <w:b/>
      <w:bCs/>
    </w:rPr>
  </w:style>
  <w:style w:type="paragraph" w:styleId="Ttulo7">
    <w:name w:val="heading 7"/>
    <w:basedOn w:val="Normal"/>
    <w:next w:val="Normal"/>
    <w:link w:val="Ttulo7Char"/>
    <w:uiPriority w:val="99"/>
    <w:qFormat/>
    <w:pPr>
      <w:keepNext/>
      <w:ind w:left="426"/>
      <w:outlineLvl w:val="6"/>
    </w:pPr>
    <w:rPr>
      <w:b/>
      <w:bCs/>
    </w:rPr>
  </w:style>
  <w:style w:type="paragraph" w:styleId="Ttulo8">
    <w:name w:val="heading 8"/>
    <w:basedOn w:val="Normal"/>
    <w:next w:val="Normal"/>
    <w:link w:val="Ttulo8Char"/>
    <w:uiPriority w:val="99"/>
    <w:qFormat/>
    <w:pPr>
      <w:keepNext/>
      <w:jc w:val="center"/>
      <w:outlineLvl w:val="7"/>
    </w:pPr>
    <w:rPr>
      <w:b/>
      <w:bCs/>
      <w:sz w:val="20"/>
      <w:szCs w:val="20"/>
    </w:rPr>
  </w:style>
  <w:style w:type="paragraph" w:styleId="Ttulo9">
    <w:name w:val="heading 9"/>
    <w:basedOn w:val="Normal"/>
    <w:next w:val="Normal"/>
    <w:link w:val="Ttulo9Char"/>
    <w:uiPriority w:val="99"/>
    <w:qFormat/>
    <w:pPr>
      <w:keepNext/>
      <w:jc w:val="center"/>
      <w:outlineLvl w:val="8"/>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Pr>
      <w:rFonts w:ascii="Cambria" w:hAnsi="Cambria" w:cs="Cambria"/>
      <w:b/>
      <w:bCs/>
      <w:kern w:val="32"/>
      <w:sz w:val="32"/>
      <w:szCs w:val="32"/>
    </w:rPr>
  </w:style>
  <w:style w:type="character" w:customStyle="1" w:styleId="Ttulo2Char">
    <w:name w:val="Título 2 Char"/>
    <w:basedOn w:val="Fontepargpadro"/>
    <w:link w:val="Ttulo2"/>
    <w:uiPriority w:val="99"/>
    <w:rPr>
      <w:rFonts w:ascii="Cambria" w:hAnsi="Cambria" w:cs="Cambria"/>
      <w:b/>
      <w:bCs/>
      <w:i/>
      <w:iCs/>
      <w:sz w:val="28"/>
      <w:szCs w:val="28"/>
    </w:rPr>
  </w:style>
  <w:style w:type="character" w:customStyle="1" w:styleId="Ttulo3Char">
    <w:name w:val="Título 3 Char"/>
    <w:basedOn w:val="Fontepargpadro"/>
    <w:link w:val="Ttulo3"/>
    <w:uiPriority w:val="99"/>
    <w:rPr>
      <w:rFonts w:ascii="Cambria" w:hAnsi="Cambria" w:cs="Cambria"/>
      <w:b/>
      <w:bCs/>
      <w:sz w:val="26"/>
      <w:szCs w:val="26"/>
    </w:rPr>
  </w:style>
  <w:style w:type="character" w:customStyle="1" w:styleId="Ttulo4Char">
    <w:name w:val="Título 4 Char"/>
    <w:basedOn w:val="Fontepargpadro"/>
    <w:link w:val="Ttulo4"/>
    <w:uiPriority w:val="99"/>
    <w:rPr>
      <w:rFonts w:ascii="Times New Roman" w:hAnsi="Times New Roman" w:cs="Times New Roman"/>
      <w:b/>
      <w:bCs/>
      <w:sz w:val="28"/>
      <w:szCs w:val="28"/>
    </w:rPr>
  </w:style>
  <w:style w:type="character" w:customStyle="1" w:styleId="Ttulo5Char">
    <w:name w:val="Título 5 Char"/>
    <w:basedOn w:val="Fontepargpadro"/>
    <w:link w:val="Ttulo5"/>
    <w:uiPriority w:val="99"/>
    <w:rPr>
      <w:rFonts w:ascii="Times New Roman" w:hAnsi="Times New Roman" w:cs="Times New Roman"/>
      <w:b/>
      <w:bCs/>
      <w:i/>
      <w:iCs/>
      <w:sz w:val="26"/>
      <w:szCs w:val="26"/>
    </w:rPr>
  </w:style>
  <w:style w:type="character" w:customStyle="1" w:styleId="Ttulo6Char">
    <w:name w:val="Título 6 Char"/>
    <w:basedOn w:val="Fontepargpadro"/>
    <w:link w:val="Ttulo6"/>
    <w:uiPriority w:val="99"/>
    <w:rPr>
      <w:rFonts w:ascii="Times New Roman" w:hAnsi="Times New Roman" w:cs="Times New Roman"/>
      <w:b/>
      <w:bCs/>
    </w:rPr>
  </w:style>
  <w:style w:type="character" w:customStyle="1" w:styleId="Ttulo7Char">
    <w:name w:val="Título 7 Char"/>
    <w:basedOn w:val="Fontepargpadro"/>
    <w:link w:val="Ttulo7"/>
    <w:uiPriority w:val="99"/>
    <w:rPr>
      <w:rFonts w:ascii="Times New Roman" w:hAnsi="Times New Roman" w:cs="Times New Roman"/>
      <w:sz w:val="24"/>
      <w:szCs w:val="24"/>
    </w:rPr>
  </w:style>
  <w:style w:type="character" w:customStyle="1" w:styleId="Ttulo8Char">
    <w:name w:val="Título 8 Char"/>
    <w:basedOn w:val="Fontepargpadro"/>
    <w:link w:val="Ttulo8"/>
    <w:uiPriority w:val="99"/>
    <w:rPr>
      <w:rFonts w:ascii="Times New Roman" w:hAnsi="Times New Roman" w:cs="Times New Roman"/>
      <w:i/>
      <w:iCs/>
      <w:sz w:val="24"/>
      <w:szCs w:val="24"/>
    </w:rPr>
  </w:style>
  <w:style w:type="character" w:customStyle="1" w:styleId="Ttulo9Char">
    <w:name w:val="Título 9 Char"/>
    <w:basedOn w:val="Fontepargpadro"/>
    <w:link w:val="Ttulo9"/>
    <w:uiPriority w:val="99"/>
    <w:rPr>
      <w:rFonts w:ascii="Cambria" w:hAnsi="Cambria" w:cs="Cambria"/>
    </w:rPr>
  </w:style>
  <w:style w:type="paragraph" w:styleId="Recuodecorpodetexto">
    <w:name w:val="Body Text Indent"/>
    <w:basedOn w:val="Normal"/>
    <w:link w:val="RecuodecorpodetextoChar"/>
    <w:uiPriority w:val="99"/>
    <w:pPr>
      <w:ind w:left="426"/>
      <w:jc w:val="both"/>
    </w:pPr>
    <w:rPr>
      <w:color w:val="FF0000"/>
    </w:rPr>
  </w:style>
  <w:style w:type="character" w:customStyle="1" w:styleId="RecuodecorpodetextoChar">
    <w:name w:val="Recuo de corpo de texto Char"/>
    <w:basedOn w:val="Fontepargpadro"/>
    <w:link w:val="Recuodecorpodetexto"/>
    <w:uiPriority w:val="99"/>
    <w:rPr>
      <w:rFonts w:ascii="Times New Roman" w:hAnsi="Times New Roman" w:cs="Times New Roman"/>
      <w:sz w:val="24"/>
      <w:szCs w:val="24"/>
    </w:rPr>
  </w:style>
  <w:style w:type="paragraph" w:styleId="Recuodecorpodetexto2">
    <w:name w:val="Body Text Indent 2"/>
    <w:basedOn w:val="Normal"/>
    <w:link w:val="Recuodecorpodetexto2Char"/>
    <w:uiPriority w:val="99"/>
    <w:pPr>
      <w:ind w:left="426"/>
      <w:jc w:val="both"/>
    </w:pPr>
  </w:style>
  <w:style w:type="character" w:customStyle="1" w:styleId="Recuodecorpodetexto2Char">
    <w:name w:val="Recuo de corpo de texto 2 Char"/>
    <w:basedOn w:val="Fontepargpadro"/>
    <w:link w:val="Recuodecorpodetexto2"/>
    <w:uiPriority w:val="99"/>
    <w:rPr>
      <w:rFonts w:ascii="Times New Roman" w:hAnsi="Times New Roman" w:cs="Times New Roman"/>
      <w:sz w:val="24"/>
      <w:szCs w:val="24"/>
    </w:rPr>
  </w:style>
  <w:style w:type="paragraph" w:styleId="Recuodecorpodetexto3">
    <w:name w:val="Body Text Indent 3"/>
    <w:basedOn w:val="Normal"/>
    <w:link w:val="Recuodecorpodetexto3Char"/>
    <w:uiPriority w:val="99"/>
    <w:pPr>
      <w:ind w:left="426"/>
    </w:pPr>
  </w:style>
  <w:style w:type="character" w:customStyle="1" w:styleId="Recuodecorpodetexto3Char">
    <w:name w:val="Recuo de corpo de texto 3 Char"/>
    <w:basedOn w:val="Fontepargpadro"/>
    <w:link w:val="Recuodecorpodetexto3"/>
    <w:uiPriority w:val="99"/>
    <w:rPr>
      <w:rFonts w:ascii="Times New Roman" w:hAnsi="Times New Roman" w:cs="Times New Roman"/>
      <w:sz w:val="16"/>
      <w:szCs w:val="16"/>
    </w:rPr>
  </w:style>
  <w:style w:type="paragraph" w:styleId="Ttulo">
    <w:name w:val="Title"/>
    <w:basedOn w:val="Normal"/>
    <w:link w:val="TtuloChar"/>
    <w:uiPriority w:val="99"/>
    <w:qFormat/>
    <w:pPr>
      <w:jc w:val="center"/>
    </w:pPr>
    <w:rPr>
      <w:rFonts w:ascii="Arial" w:hAnsi="Arial" w:cs="Arial"/>
      <w:sz w:val="38"/>
      <w:szCs w:val="38"/>
    </w:rPr>
  </w:style>
  <w:style w:type="character" w:customStyle="1" w:styleId="TtuloChar">
    <w:name w:val="Título Char"/>
    <w:basedOn w:val="Fontepargpadro"/>
    <w:link w:val="Ttulo"/>
    <w:uiPriority w:val="99"/>
    <w:rPr>
      <w:rFonts w:ascii="Cambria" w:hAnsi="Cambria" w:cs="Cambria"/>
      <w:b/>
      <w:bCs/>
      <w:kern w:val="28"/>
      <w:sz w:val="32"/>
      <w:szCs w:val="32"/>
    </w:rPr>
  </w:style>
  <w:style w:type="paragraph" w:styleId="Cabealho">
    <w:name w:val="header"/>
    <w:basedOn w:val="Normal"/>
    <w:link w:val="CabealhoChar"/>
    <w:pPr>
      <w:tabs>
        <w:tab w:val="center" w:pos="4419"/>
        <w:tab w:val="right" w:pos="8838"/>
      </w:tabs>
    </w:pPr>
    <w:rPr>
      <w:rFonts w:cs="Times New Roman"/>
    </w:rPr>
  </w:style>
  <w:style w:type="character" w:customStyle="1" w:styleId="CabealhoChar">
    <w:name w:val="Cabeçalho Char"/>
    <w:basedOn w:val="Fontepargpadro"/>
    <w:link w:val="Cabealho"/>
    <w:uiPriority w:val="99"/>
    <w:rPr>
      <w:rFonts w:ascii="Times New Roman" w:hAnsi="Times New Roman" w:cs="Times New Roman"/>
      <w:sz w:val="24"/>
      <w:szCs w:val="24"/>
    </w:rPr>
  </w:style>
  <w:style w:type="paragraph" w:styleId="Rodap">
    <w:name w:val="footer"/>
    <w:basedOn w:val="Normal"/>
    <w:link w:val="RodapChar"/>
    <w:uiPriority w:val="99"/>
    <w:pPr>
      <w:tabs>
        <w:tab w:val="center" w:pos="4419"/>
        <w:tab w:val="right" w:pos="8838"/>
      </w:tabs>
    </w:pPr>
    <w:rPr>
      <w:rFonts w:cs="Times New Roman"/>
    </w:rPr>
  </w:style>
  <w:style w:type="character" w:customStyle="1" w:styleId="RodapChar">
    <w:name w:val="Rodapé Char"/>
    <w:basedOn w:val="Fontepargpadro"/>
    <w:link w:val="Rodap"/>
    <w:uiPriority w:val="99"/>
    <w:rPr>
      <w:rFonts w:ascii="Times New Roman" w:hAnsi="Times New Roman" w:cs="Times New Roman"/>
      <w:sz w:val="24"/>
      <w:szCs w:val="24"/>
    </w:rPr>
  </w:style>
  <w:style w:type="paragraph" w:styleId="Subttulo">
    <w:name w:val="Subtitle"/>
    <w:basedOn w:val="Normal"/>
    <w:link w:val="SubttuloChar"/>
    <w:uiPriority w:val="99"/>
    <w:qFormat/>
    <w:pPr>
      <w:ind w:right="-1"/>
      <w:jc w:val="center"/>
    </w:pPr>
    <w:rPr>
      <w:rFonts w:cs="Times New Roman"/>
      <w:b/>
      <w:bCs/>
      <w:color w:val="000000"/>
      <w:sz w:val="22"/>
      <w:szCs w:val="22"/>
    </w:rPr>
  </w:style>
  <w:style w:type="character" w:customStyle="1" w:styleId="SubttuloChar">
    <w:name w:val="Subtítulo Char"/>
    <w:basedOn w:val="Fontepargpadro"/>
    <w:link w:val="Subttulo"/>
    <w:uiPriority w:val="99"/>
    <w:rPr>
      <w:rFonts w:ascii="Cambria" w:hAnsi="Cambria" w:cs="Cambria"/>
      <w:sz w:val="24"/>
      <w:szCs w:val="24"/>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rPr>
  </w:style>
  <w:style w:type="paragraph" w:styleId="Reviso">
    <w:name w:val="Revision"/>
    <w:hidden/>
    <w:uiPriority w:val="99"/>
    <w:rPr>
      <w:rFonts w:ascii="Times New Roman" w:hAnsi="Times New Roman" w:cs="Times New Roman"/>
      <w:sz w:val="24"/>
      <w:szCs w:val="24"/>
    </w:rPr>
  </w:style>
  <w:style w:type="paragraph" w:customStyle="1" w:styleId="Normal1">
    <w:name w:val="Normal 1"/>
    <w:uiPriority w:val="99"/>
    <w:pPr>
      <w:jc w:val="both"/>
    </w:pPr>
    <w:rPr>
      <w:rFonts w:ascii="Times New Roman" w:hAnsi="Times New Roman" w:cs="Times New Roman"/>
      <w:sz w:val="24"/>
      <w:szCs w:val="24"/>
    </w:rPr>
  </w:style>
  <w:style w:type="paragraph" w:styleId="PargrafodaLista">
    <w:name w:val="List Paragraph"/>
    <w:basedOn w:val="Normal"/>
    <w:uiPriority w:val="34"/>
    <w:qFormat/>
    <w:pPr>
      <w:ind w:left="720"/>
    </w:pPr>
    <w:rPr>
      <w:rFonts w:cs="Times New Roman"/>
    </w:rPr>
  </w:style>
  <w:style w:type="numbering" w:customStyle="1" w:styleId="Semlista1">
    <w:name w:val="Sem lista1"/>
    <w:next w:val="Semlista"/>
    <w:uiPriority w:val="99"/>
    <w:semiHidden/>
    <w:unhideWhenUsed/>
    <w:rsid w:val="002F188E"/>
  </w:style>
  <w:style w:type="table" w:styleId="Tabelacomgrade">
    <w:name w:val="Table Grid"/>
    <w:basedOn w:val="Tabelanormal"/>
    <w:uiPriority w:val="39"/>
    <w:rsid w:val="002F188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C5E75"/>
    <w:rPr>
      <w:color w:val="0000FF" w:themeColor="hyperlink"/>
      <w:u w:val="single"/>
    </w:rPr>
  </w:style>
  <w:style w:type="character" w:styleId="Refdecomentrio">
    <w:name w:val="annotation reference"/>
    <w:basedOn w:val="Fontepargpadro"/>
    <w:uiPriority w:val="99"/>
    <w:semiHidden/>
    <w:unhideWhenUsed/>
    <w:rsid w:val="00786729"/>
    <w:rPr>
      <w:sz w:val="16"/>
      <w:szCs w:val="16"/>
    </w:rPr>
  </w:style>
  <w:style w:type="paragraph" w:styleId="Textodecomentrio">
    <w:name w:val="annotation text"/>
    <w:basedOn w:val="Normal"/>
    <w:link w:val="TextodecomentrioChar"/>
    <w:uiPriority w:val="99"/>
    <w:semiHidden/>
    <w:unhideWhenUsed/>
    <w:rsid w:val="00786729"/>
    <w:rPr>
      <w:sz w:val="20"/>
      <w:szCs w:val="20"/>
    </w:rPr>
  </w:style>
  <w:style w:type="character" w:customStyle="1" w:styleId="TextodecomentrioChar">
    <w:name w:val="Texto de comentário Char"/>
    <w:basedOn w:val="Fontepargpadro"/>
    <w:link w:val="Textodecomentrio"/>
    <w:uiPriority w:val="99"/>
    <w:semiHidden/>
    <w:rsid w:val="00786729"/>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86729"/>
    <w:rPr>
      <w:b/>
      <w:bCs/>
    </w:rPr>
  </w:style>
  <w:style w:type="character" w:customStyle="1" w:styleId="AssuntodocomentrioChar">
    <w:name w:val="Assunto do comentário Char"/>
    <w:basedOn w:val="TextodecomentrioChar"/>
    <w:link w:val="Assuntodocomentrio"/>
    <w:uiPriority w:val="99"/>
    <w:semiHidden/>
    <w:rsid w:val="007867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6982">
      <w:bodyDiv w:val="1"/>
      <w:marLeft w:val="0"/>
      <w:marRight w:val="0"/>
      <w:marTop w:val="0"/>
      <w:marBottom w:val="0"/>
      <w:divBdr>
        <w:top w:val="none" w:sz="0" w:space="0" w:color="auto"/>
        <w:left w:val="none" w:sz="0" w:space="0" w:color="auto"/>
        <w:bottom w:val="none" w:sz="0" w:space="0" w:color="auto"/>
        <w:right w:val="none" w:sz="0" w:space="0" w:color="auto"/>
      </w:divBdr>
    </w:div>
    <w:div w:id="9676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Planilha_do_Microsoft_Excel1.xlsx"/><Relationship Id="rId18" Type="http://schemas.openxmlformats.org/officeDocument/2006/relationships/image" Target="media/image5.emf"/><Relationship Id="rId26" Type="http://schemas.openxmlformats.org/officeDocument/2006/relationships/package" Target="embeddings/Planilha_do_Microsoft_Excel7.xlsx"/><Relationship Id="rId39" Type="http://schemas.openxmlformats.org/officeDocument/2006/relationships/package" Target="embeddings/Planilha_do_Microsoft_Excel13.xlsx"/><Relationship Id="rId21" Type="http://schemas.openxmlformats.org/officeDocument/2006/relationships/package" Target="embeddings/Planilha_do_Microsoft_Excel5.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Planilha_do_Microsoft_Excel17.xlsx"/><Relationship Id="rId50" Type="http://schemas.openxmlformats.org/officeDocument/2006/relationships/image" Target="media/image22.emf"/><Relationship Id="rId55" Type="http://schemas.openxmlformats.org/officeDocument/2006/relationships/package" Target="embeddings/Planilha_do_Microsoft_Excel21.xlsx"/><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1.png"/><Relationship Id="rId11" Type="http://schemas.openxmlformats.org/officeDocument/2006/relationships/package" Target="embeddings/Planilha_do_Microsoft_Excel.xlsx"/><Relationship Id="rId24" Type="http://schemas.openxmlformats.org/officeDocument/2006/relationships/image" Target="media/image8.png"/><Relationship Id="rId32" Type="http://schemas.openxmlformats.org/officeDocument/2006/relationships/image" Target="media/image13.emf"/><Relationship Id="rId37" Type="http://schemas.openxmlformats.org/officeDocument/2006/relationships/package" Target="embeddings/Planilha_do_Microsoft_Excel12.xlsx"/><Relationship Id="rId40" Type="http://schemas.openxmlformats.org/officeDocument/2006/relationships/image" Target="media/image17.emf"/><Relationship Id="rId45" Type="http://schemas.openxmlformats.org/officeDocument/2006/relationships/package" Target="embeddings/Planilha_do_Microsoft_Excel16.xlsx"/><Relationship Id="rId53" Type="http://schemas.openxmlformats.org/officeDocument/2006/relationships/package" Target="embeddings/Planilha_do_Microsoft_Excel20.xlsx"/><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package" Target="embeddings/Planilha_do_Microsoft_Excel4.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package" Target="embeddings/Planilha_do_Microsoft_Excel11.xlsx"/><Relationship Id="rId43" Type="http://schemas.openxmlformats.org/officeDocument/2006/relationships/package" Target="embeddings/Planilha_do_Microsoft_Excel15.xlsx"/><Relationship Id="rId48" Type="http://schemas.openxmlformats.org/officeDocument/2006/relationships/image" Target="media/image21.emf"/><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package" Target="embeddings/Planilha_do_Microsoft_Excel19.xlsx"/><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package" Target="embeddings/Planilha_do_Microsoft_Excel3.xlsx"/><Relationship Id="rId25" Type="http://schemas.openxmlformats.org/officeDocument/2006/relationships/image" Target="media/image9.emf"/><Relationship Id="rId33" Type="http://schemas.openxmlformats.org/officeDocument/2006/relationships/package" Target="embeddings/Planilha_do_Microsoft_Excel10.xlsx"/><Relationship Id="rId38" Type="http://schemas.openxmlformats.org/officeDocument/2006/relationships/image" Target="media/image16.emf"/><Relationship Id="rId46" Type="http://schemas.openxmlformats.org/officeDocument/2006/relationships/image" Target="media/image20.emf"/><Relationship Id="rId20" Type="http://schemas.openxmlformats.org/officeDocument/2006/relationships/image" Target="media/image6.emf"/><Relationship Id="rId41" Type="http://schemas.openxmlformats.org/officeDocument/2006/relationships/package" Target="embeddings/Planilha_do_Microsoft_Excel14.xlsx"/><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package" Target="embeddings/Planilha_do_Microsoft_Excel2.xlsx"/><Relationship Id="rId23" Type="http://schemas.openxmlformats.org/officeDocument/2006/relationships/package" Target="embeddings/Planilha_do_Microsoft_Excel6.xlsx"/><Relationship Id="rId28" Type="http://schemas.openxmlformats.org/officeDocument/2006/relationships/package" Target="embeddings/Planilha_do_Microsoft_Excel8.xlsx"/><Relationship Id="rId36" Type="http://schemas.openxmlformats.org/officeDocument/2006/relationships/image" Target="media/image15.emf"/><Relationship Id="rId49" Type="http://schemas.openxmlformats.org/officeDocument/2006/relationships/package" Target="embeddings/Planilha_do_Microsoft_Excel18.xlsx"/><Relationship Id="rId57" Type="http://schemas.openxmlformats.org/officeDocument/2006/relationships/fontTable" Target="fontTable.xml"/><Relationship Id="rId10" Type="http://schemas.openxmlformats.org/officeDocument/2006/relationships/image" Target="media/image1.emf"/><Relationship Id="rId31" Type="http://schemas.openxmlformats.org/officeDocument/2006/relationships/package" Target="embeddings/Planilha_do_Microsoft_Excel9.xlsx"/><Relationship Id="rId44" Type="http://schemas.openxmlformats.org/officeDocument/2006/relationships/image" Target="media/image19.emf"/><Relationship Id="rId52"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A3ODU8L1VzZXJOYW1lPjxEYXRlVGltZT4yMy8xMi8yMDIyIDEyOjUwOjI1PC9EYXRlVGltZT48TGFiZWxTdHJpbmc+Tm8gTWFya2luZ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ef8af39a-1bf2-4b89-a7b7-df2ed490df21" origin="userSelecte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64AF-BC29-4D0A-ABC0-10DCD379130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B8D2658-0372-41FC-9044-3D2112A033C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1A20B41-287A-45E0-8C57-39A9A51D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6920</TotalTime>
  <Pages>14</Pages>
  <Words>3160</Words>
  <Characters>18007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01</vt:lpstr>
    </vt:vector>
  </TitlesOfParts>
  <Company>SANEPAR</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Ana Paula Leandro Mira</dc:creator>
  <cp:lastModifiedBy>Cezar Augusto Alcantara Neves</cp:lastModifiedBy>
  <cp:revision>470</cp:revision>
  <cp:lastPrinted>2023-01-19T12:22:00Z</cp:lastPrinted>
  <dcterms:created xsi:type="dcterms:W3CDTF">2020-10-26T13:23:00Z</dcterms:created>
  <dcterms:modified xsi:type="dcterms:W3CDTF">2023-02-10T13:15:00Z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83dc5df9-383a-4bb4-ba43-049cc1d14448</vt:lpwstr>
  </property>
  <property fmtid="{D5CDD505-2E9C-101B-9397-08002B2CF9AE}" pid="3" name="bjSaver">
    <vt:lpwstr>kO7sswbNM1Eu3abROn2GBIkw2VBLNCMG</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{098564AF-BC29-4D0A-ABC0-10DCD3791306}</vt:lpwstr>
  </property>
</Properties>
</file>